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9F5CE5" w14:textId="77777777" w:rsidR="00E63642" w:rsidRDefault="00BC177F">
      <w:pPr>
        <w:rPr>
          <w:rFonts w:ascii="Times New Roman" w:eastAsia="Times New Roman" w:hAnsi="Times New Roman" w:cs="Times New Roman"/>
        </w:rPr>
      </w:pPr>
      <w:r>
        <w:rPr>
          <w:rFonts w:ascii="Times New Roman" w:eastAsia="Times New Roman" w:hAnsi="Times New Roman" w:cs="Times New Roman"/>
        </w:rPr>
        <w:t xml:space="preserve">Bogotá D.C., 1 de enero de 2026. </w:t>
      </w:r>
    </w:p>
    <w:p w14:paraId="36BB64FB" w14:textId="77777777" w:rsidR="00E63642" w:rsidRDefault="00E63642">
      <w:pPr>
        <w:rPr>
          <w:rFonts w:ascii="Times New Roman" w:eastAsia="Times New Roman" w:hAnsi="Times New Roman" w:cs="Times New Roman"/>
        </w:rPr>
      </w:pPr>
    </w:p>
    <w:p w14:paraId="4E1DB5F8" w14:textId="77777777" w:rsidR="00E63642" w:rsidRDefault="00E63642">
      <w:pPr>
        <w:rPr>
          <w:rFonts w:ascii="Times New Roman" w:eastAsia="Times New Roman" w:hAnsi="Times New Roman" w:cs="Times New Roman"/>
        </w:rPr>
      </w:pPr>
    </w:p>
    <w:p w14:paraId="64DAD231" w14:textId="77777777" w:rsidR="00E63642" w:rsidRDefault="00E63642">
      <w:pPr>
        <w:rPr>
          <w:rFonts w:ascii="Times New Roman" w:eastAsia="Times New Roman" w:hAnsi="Times New Roman" w:cs="Times New Roman"/>
        </w:rPr>
      </w:pPr>
    </w:p>
    <w:p w14:paraId="39BE9F9B" w14:textId="77777777" w:rsidR="00E63642" w:rsidRDefault="00BC177F">
      <w:pPr>
        <w:rPr>
          <w:rFonts w:ascii="Times New Roman" w:eastAsia="Times New Roman" w:hAnsi="Times New Roman" w:cs="Times New Roman"/>
          <w:b/>
          <w:bCs/>
        </w:rPr>
      </w:pPr>
      <w:r>
        <w:rPr>
          <w:rFonts w:ascii="Times New Roman" w:eastAsia="Times New Roman" w:hAnsi="Times New Roman" w:cs="Times New Roman"/>
        </w:rPr>
        <w:t>Doctora:</w:t>
      </w:r>
    </w:p>
    <w:p w14:paraId="60FDD62C" w14:textId="77777777" w:rsidR="00E63642" w:rsidRDefault="00BC177F">
      <w:pPr>
        <w:rPr>
          <w:rFonts w:ascii="Times New Roman" w:eastAsia="Times New Roman" w:hAnsi="Times New Roman" w:cs="Times New Roman"/>
          <w:b/>
          <w:bCs/>
          <w:highlight w:val="white"/>
        </w:rPr>
      </w:pPr>
      <w:r>
        <w:rPr>
          <w:rFonts w:ascii="Times New Roman" w:eastAsia="Times New Roman" w:hAnsi="Times New Roman" w:cs="Times New Roman"/>
          <w:b/>
          <w:bCs/>
        </w:rPr>
        <w:t>LUZ ANGÉLICA VIZCAÍNO SOLANO</w:t>
      </w:r>
      <w:r>
        <w:rPr>
          <w:rFonts w:ascii="Times New Roman" w:eastAsia="Times New Roman" w:hAnsi="Times New Roman" w:cs="Times New Roman"/>
          <w:b/>
          <w:bCs/>
          <w:highlight w:val="white"/>
        </w:rPr>
        <w:t>.</w:t>
      </w:r>
    </w:p>
    <w:p w14:paraId="050E4029" w14:textId="77777777" w:rsidR="00E63642" w:rsidRDefault="00BC177F">
      <w:pPr>
        <w:rPr>
          <w:rFonts w:ascii="Times New Roman" w:eastAsia="Times New Roman" w:hAnsi="Times New Roman" w:cs="Times New Roman"/>
          <w:highlight w:val="white"/>
        </w:rPr>
      </w:pPr>
      <w:r>
        <w:rPr>
          <w:rFonts w:ascii="Times New Roman" w:eastAsia="Times New Roman" w:hAnsi="Times New Roman" w:cs="Times New Roman"/>
          <w:highlight w:val="white"/>
        </w:rPr>
        <w:t>Secretaria General.</w:t>
      </w:r>
    </w:p>
    <w:p w14:paraId="0EC02722" w14:textId="77777777" w:rsidR="00E63642" w:rsidRDefault="00BC177F">
      <w:pPr>
        <w:rPr>
          <w:rFonts w:ascii="Times New Roman" w:eastAsia="Times New Roman" w:hAnsi="Times New Roman" w:cs="Times New Roman"/>
          <w:highlight w:val="white"/>
        </w:rPr>
      </w:pPr>
      <w:r>
        <w:rPr>
          <w:rFonts w:ascii="Times New Roman" w:eastAsia="Times New Roman" w:hAnsi="Times New Roman" w:cs="Times New Roman"/>
          <w:highlight w:val="white"/>
        </w:rPr>
        <w:t>Concejo de Bogotá D.C.</w:t>
      </w:r>
    </w:p>
    <w:p w14:paraId="7CAA0CB4" w14:textId="77777777" w:rsidR="00E63642" w:rsidRDefault="00BC177F">
      <w:pPr>
        <w:rPr>
          <w:rFonts w:ascii="Times New Roman" w:eastAsia="Times New Roman" w:hAnsi="Times New Roman" w:cs="Times New Roman"/>
        </w:rPr>
      </w:pPr>
      <w:r>
        <w:rPr>
          <w:rFonts w:ascii="Times New Roman" w:eastAsia="Times New Roman" w:hAnsi="Times New Roman" w:cs="Times New Roman"/>
        </w:rPr>
        <w:t>Ciudad.</w:t>
      </w:r>
    </w:p>
    <w:p w14:paraId="22B64EED" w14:textId="77777777" w:rsidR="00E63642" w:rsidRDefault="00BC177F">
      <w:pPr>
        <w:jc w:val="right"/>
        <w:rPr>
          <w:rFonts w:ascii="Times New Roman" w:eastAsia="Times New Roman" w:hAnsi="Times New Roman" w:cs="Times New Roman"/>
        </w:rPr>
      </w:pPr>
      <w:r>
        <w:rPr>
          <w:rFonts w:ascii="Times New Roman" w:eastAsia="Times New Roman" w:hAnsi="Times New Roman" w:cs="Times New Roman"/>
          <w:b/>
          <w:bCs/>
        </w:rPr>
        <w:t xml:space="preserve">Asunto: </w:t>
      </w:r>
      <w:r>
        <w:rPr>
          <w:rFonts w:ascii="Times New Roman" w:eastAsia="Times New Roman" w:hAnsi="Times New Roman" w:cs="Times New Roman"/>
        </w:rPr>
        <w:t>Radicación Proyecto de Acuerdo.</w:t>
      </w:r>
    </w:p>
    <w:p w14:paraId="46FEA58D" w14:textId="77777777" w:rsidR="00E63642" w:rsidRDefault="00E63642">
      <w:pPr>
        <w:rPr>
          <w:rFonts w:ascii="Times New Roman" w:eastAsia="Times New Roman" w:hAnsi="Times New Roman" w:cs="Times New Roman"/>
        </w:rPr>
      </w:pPr>
    </w:p>
    <w:p w14:paraId="3221E8B1" w14:textId="77777777" w:rsidR="00E63642" w:rsidRDefault="00E63642">
      <w:pPr>
        <w:rPr>
          <w:rFonts w:ascii="Times New Roman" w:eastAsia="Times New Roman" w:hAnsi="Times New Roman" w:cs="Times New Roman"/>
        </w:rPr>
      </w:pPr>
    </w:p>
    <w:p w14:paraId="59E8994E" w14:textId="77777777" w:rsidR="00E63642" w:rsidRDefault="00BC177F">
      <w:pPr>
        <w:rPr>
          <w:rFonts w:ascii="Times New Roman" w:eastAsia="Times New Roman" w:hAnsi="Times New Roman" w:cs="Times New Roman"/>
        </w:rPr>
      </w:pPr>
      <w:r>
        <w:rPr>
          <w:rFonts w:ascii="Times New Roman" w:eastAsia="Times New Roman" w:hAnsi="Times New Roman" w:cs="Times New Roman"/>
        </w:rPr>
        <w:t>Apreciada Doctora:</w:t>
      </w:r>
    </w:p>
    <w:p w14:paraId="4B4E185B" w14:textId="77777777" w:rsidR="00E63642" w:rsidRDefault="00E63642">
      <w:pPr>
        <w:rPr>
          <w:rFonts w:ascii="Times New Roman" w:eastAsia="Times New Roman" w:hAnsi="Times New Roman" w:cs="Times New Roman"/>
        </w:rPr>
      </w:pPr>
    </w:p>
    <w:p w14:paraId="0E093ECB" w14:textId="77777777" w:rsidR="00E63642" w:rsidRDefault="00E63642">
      <w:pPr>
        <w:jc w:val="both"/>
        <w:rPr>
          <w:rFonts w:ascii="Times New Roman" w:eastAsia="Times New Roman" w:hAnsi="Times New Roman" w:cs="Times New Roman"/>
        </w:rPr>
      </w:pPr>
    </w:p>
    <w:p w14:paraId="13BA9C29" w14:textId="47AA5138" w:rsidR="00E63642" w:rsidRDefault="00BC177F">
      <w:pPr>
        <w:spacing w:line="276" w:lineRule="auto"/>
        <w:jc w:val="both"/>
        <w:rPr>
          <w:rFonts w:ascii="Times New Roman" w:eastAsia="Times New Roman" w:hAnsi="Times New Roman" w:cs="Times New Roman"/>
        </w:rPr>
      </w:pPr>
      <w:r>
        <w:rPr>
          <w:rFonts w:ascii="Times New Roman" w:eastAsia="Times New Roman" w:hAnsi="Times New Roman" w:cs="Times New Roman"/>
        </w:rPr>
        <w:t xml:space="preserve">Por medio de la </w:t>
      </w:r>
      <w:proofErr w:type="gramStart"/>
      <w:r>
        <w:rPr>
          <w:rFonts w:ascii="Times New Roman" w:eastAsia="Times New Roman" w:hAnsi="Times New Roman" w:cs="Times New Roman"/>
        </w:rPr>
        <w:t>presente  y</w:t>
      </w:r>
      <w:proofErr w:type="gramEnd"/>
      <w:r>
        <w:rPr>
          <w:rFonts w:ascii="Times New Roman" w:eastAsia="Times New Roman" w:hAnsi="Times New Roman" w:cs="Times New Roman"/>
        </w:rPr>
        <w:t xml:space="preserve"> de conformidad con lo dispuesto en los artículos 65, 66 y 67 del Acuerdo 741 de 2019, modificado por el </w:t>
      </w:r>
      <w:r w:rsidR="005D5F94" w:rsidRPr="005D5F94">
        <w:rPr>
          <w:rFonts w:ascii="Times New Roman" w:eastAsia="Times New Roman" w:hAnsi="Times New Roman" w:cs="Times New Roman"/>
        </w:rPr>
        <w:t>Acuerdo 1014 de 2025</w:t>
      </w:r>
      <w:r>
        <w:rPr>
          <w:rFonts w:ascii="Times New Roman" w:eastAsia="Times New Roman" w:hAnsi="Times New Roman" w:cs="Times New Roman"/>
        </w:rPr>
        <w:t>, me permito radicar ante su despacho el Proyecto de Acuerdo</w:t>
      </w:r>
      <w:r w:rsidR="007B2BA6">
        <w:rPr>
          <w:rFonts w:ascii="Times New Roman" w:eastAsia="Times New Roman" w:hAnsi="Times New Roman" w:cs="Times New Roman"/>
        </w:rPr>
        <w:t xml:space="preserve"> </w:t>
      </w:r>
      <w:r>
        <w:rPr>
          <w:rFonts w:ascii="Times New Roman" w:eastAsia="Times New Roman" w:hAnsi="Times New Roman" w:cs="Times New Roman"/>
          <w:b/>
          <w:bCs/>
        </w:rPr>
        <w:t>“</w:t>
      </w:r>
      <w:r>
        <w:rPr>
          <w:rFonts w:ascii="Times New Roman" w:eastAsia="Times New Roman" w:hAnsi="Times New Roman" w:cs="Times New Roman"/>
          <w:b/>
          <w:bCs/>
          <w:i/>
          <w:iCs/>
        </w:rPr>
        <w:t>POR MEDIO DEL CUAL SE PROMUEVEN Y FORTALECEN LOS NEGOCIOS LOCALES, EMPRENDIMIENTOS, MIPYMES Y CLUSTER RELACIONADOS CON LA PROTECCIÓN Y BIENESTAR DE ANIMALES DOMÉSTICOS EN EL DISTRITO CAPITAL Y SE DICTAN OTRAS DISPOSICIONES”</w:t>
      </w:r>
    </w:p>
    <w:p w14:paraId="79057D06" w14:textId="77777777" w:rsidR="00E63642" w:rsidRDefault="00E63642">
      <w:pPr>
        <w:spacing w:line="276" w:lineRule="auto"/>
        <w:jc w:val="both"/>
        <w:rPr>
          <w:rFonts w:ascii="Times New Roman" w:eastAsia="Times New Roman" w:hAnsi="Times New Roman" w:cs="Times New Roman"/>
        </w:rPr>
      </w:pPr>
    </w:p>
    <w:p w14:paraId="629A4EDB" w14:textId="77777777" w:rsidR="00E63642" w:rsidRDefault="00BC177F">
      <w:pPr>
        <w:spacing w:line="276" w:lineRule="auto"/>
        <w:jc w:val="both"/>
        <w:rPr>
          <w:rFonts w:ascii="Times New Roman" w:eastAsia="Times New Roman" w:hAnsi="Times New Roman" w:cs="Times New Roman"/>
        </w:rPr>
      </w:pPr>
      <w:r>
        <w:rPr>
          <w:rFonts w:ascii="Times New Roman" w:eastAsia="Times New Roman" w:hAnsi="Times New Roman" w:cs="Times New Roman"/>
        </w:rPr>
        <w:t>Muchísimas gracias por su atención y colaboración.</w:t>
      </w:r>
    </w:p>
    <w:p w14:paraId="54D0152E" w14:textId="77777777" w:rsidR="00E63642" w:rsidRDefault="00E63642">
      <w:pPr>
        <w:jc w:val="both"/>
        <w:rPr>
          <w:rFonts w:ascii="Times New Roman" w:eastAsia="Times New Roman" w:hAnsi="Times New Roman" w:cs="Times New Roman"/>
        </w:rPr>
      </w:pPr>
    </w:p>
    <w:p w14:paraId="4DC95595" w14:textId="6BFAA9AF" w:rsidR="00E63642" w:rsidRDefault="00E63642">
      <w:pPr>
        <w:jc w:val="both"/>
        <w:rPr>
          <w:rFonts w:ascii="Times New Roman" w:eastAsia="Times New Roman" w:hAnsi="Times New Roman" w:cs="Times New Roman"/>
        </w:rPr>
      </w:pPr>
    </w:p>
    <w:p w14:paraId="3FE52718" w14:textId="77777777" w:rsidR="00E63642" w:rsidRDefault="00BC177F">
      <w:pPr>
        <w:jc w:val="both"/>
        <w:rPr>
          <w:rFonts w:ascii="Times New Roman" w:eastAsia="Times New Roman" w:hAnsi="Times New Roman" w:cs="Times New Roman"/>
        </w:rPr>
      </w:pPr>
      <w:r>
        <w:rPr>
          <w:rFonts w:ascii="Times New Roman" w:eastAsia="Times New Roman" w:hAnsi="Times New Roman" w:cs="Times New Roman"/>
        </w:rPr>
        <w:t>Cordialmente,</w:t>
      </w:r>
    </w:p>
    <w:p w14:paraId="5519A81F" w14:textId="77777777" w:rsidR="00E63642" w:rsidRDefault="00E63642">
      <w:pPr>
        <w:jc w:val="both"/>
        <w:rPr>
          <w:rFonts w:ascii="Times New Roman" w:eastAsia="Times New Roman" w:hAnsi="Times New Roman" w:cs="Times New Roman"/>
        </w:rPr>
      </w:pPr>
    </w:p>
    <w:p w14:paraId="54539663" w14:textId="77777777" w:rsidR="00E63642" w:rsidRDefault="00E63642">
      <w:pPr>
        <w:jc w:val="both"/>
        <w:rPr>
          <w:rFonts w:ascii="Times New Roman" w:eastAsia="Times New Roman" w:hAnsi="Times New Roman" w:cs="Times New Roman"/>
        </w:rPr>
      </w:pPr>
    </w:p>
    <w:p w14:paraId="25BD27BD" w14:textId="77777777" w:rsidR="00E63642" w:rsidRDefault="00E63642">
      <w:pPr>
        <w:jc w:val="both"/>
        <w:rPr>
          <w:rFonts w:ascii="Times New Roman" w:eastAsia="Times New Roman" w:hAnsi="Times New Roman" w:cs="Times New Roman"/>
        </w:rPr>
      </w:pPr>
    </w:p>
    <w:p w14:paraId="64AA33FB" w14:textId="77777777" w:rsidR="00E63642" w:rsidRDefault="00E63642">
      <w:pPr>
        <w:jc w:val="both"/>
        <w:rPr>
          <w:rFonts w:ascii="Times New Roman" w:eastAsia="Times New Roman" w:hAnsi="Times New Roman" w:cs="Times New Roman"/>
        </w:rPr>
      </w:pPr>
    </w:p>
    <w:p w14:paraId="70991878" w14:textId="77777777" w:rsidR="00E63642" w:rsidRDefault="00E63642">
      <w:pPr>
        <w:jc w:val="both"/>
        <w:rPr>
          <w:rFonts w:ascii="Times New Roman" w:eastAsia="Times New Roman" w:hAnsi="Times New Roman" w:cs="Times New Roman"/>
        </w:rPr>
      </w:pPr>
    </w:p>
    <w:p w14:paraId="3C4CB033" w14:textId="77777777" w:rsidR="00E63642" w:rsidRDefault="00E63642">
      <w:pPr>
        <w:jc w:val="both"/>
        <w:rPr>
          <w:rFonts w:ascii="Times New Roman" w:eastAsia="Times New Roman" w:hAnsi="Times New Roman" w:cs="Times New Roman"/>
        </w:rPr>
      </w:pPr>
    </w:p>
    <w:p w14:paraId="65107110" w14:textId="77777777" w:rsidR="00E63642" w:rsidRDefault="00BC177F">
      <w:pPr>
        <w:jc w:val="both"/>
        <w:rPr>
          <w:rFonts w:ascii="Times New Roman" w:eastAsia="Times New Roman" w:hAnsi="Times New Roman" w:cs="Times New Roman"/>
          <w:b/>
          <w:bCs/>
        </w:rPr>
      </w:pPr>
      <w:r>
        <w:rPr>
          <w:rFonts w:ascii="Times New Roman" w:eastAsia="Times New Roman" w:hAnsi="Times New Roman" w:cs="Times New Roman"/>
          <w:b/>
          <w:bCs/>
        </w:rPr>
        <w:t>JULIÁN RODRÍGUEZ SASTOQUE</w:t>
      </w:r>
    </w:p>
    <w:p w14:paraId="42CE592A" w14:textId="77777777" w:rsidR="00E63642" w:rsidRDefault="00BC177F">
      <w:pPr>
        <w:jc w:val="both"/>
        <w:rPr>
          <w:rFonts w:ascii="Times New Roman" w:eastAsia="Times New Roman" w:hAnsi="Times New Roman" w:cs="Times New Roman"/>
        </w:rPr>
      </w:pPr>
      <w:r>
        <w:rPr>
          <w:rFonts w:ascii="Times New Roman" w:eastAsia="Times New Roman" w:hAnsi="Times New Roman" w:cs="Times New Roman"/>
        </w:rPr>
        <w:t>Concejal de Bogotá D.C.</w:t>
      </w:r>
    </w:p>
    <w:p w14:paraId="013F7EBF" w14:textId="77777777" w:rsidR="00E63642" w:rsidRDefault="00BC177F">
      <w:pPr>
        <w:jc w:val="both"/>
        <w:rPr>
          <w:rFonts w:ascii="Times New Roman" w:eastAsia="Times New Roman" w:hAnsi="Times New Roman" w:cs="Times New Roman"/>
        </w:rPr>
      </w:pPr>
      <w:r>
        <w:rPr>
          <w:rFonts w:ascii="Times New Roman" w:eastAsia="Times New Roman" w:hAnsi="Times New Roman" w:cs="Times New Roman"/>
        </w:rPr>
        <w:t>Partido Alianza Verde.</w:t>
      </w:r>
    </w:p>
    <w:p w14:paraId="7BEE1ABB" w14:textId="77777777" w:rsidR="00E63642" w:rsidRDefault="00E63642">
      <w:pPr>
        <w:jc w:val="center"/>
        <w:rPr>
          <w:rFonts w:ascii="Times New Roman" w:eastAsia="Times New Roman" w:hAnsi="Times New Roman" w:cs="Times New Roman"/>
        </w:rPr>
      </w:pPr>
    </w:p>
    <w:p w14:paraId="788484B9" w14:textId="77777777" w:rsidR="00E63642" w:rsidRDefault="00E63642">
      <w:pPr>
        <w:jc w:val="center"/>
        <w:rPr>
          <w:rFonts w:ascii="Times New Roman" w:eastAsia="Times New Roman" w:hAnsi="Times New Roman" w:cs="Times New Roman"/>
        </w:rPr>
      </w:pPr>
    </w:p>
    <w:p w14:paraId="0EE49E47" w14:textId="77777777" w:rsidR="00E63642" w:rsidRDefault="00E63642">
      <w:pPr>
        <w:jc w:val="center"/>
        <w:rPr>
          <w:rFonts w:ascii="Times New Roman" w:eastAsia="Times New Roman" w:hAnsi="Times New Roman" w:cs="Times New Roman"/>
        </w:rPr>
      </w:pPr>
    </w:p>
    <w:p w14:paraId="7398C103" w14:textId="77777777" w:rsidR="00E63642" w:rsidRDefault="00E63642">
      <w:pPr>
        <w:jc w:val="center"/>
        <w:rPr>
          <w:rFonts w:ascii="Times New Roman" w:eastAsia="Times New Roman" w:hAnsi="Times New Roman" w:cs="Times New Roman"/>
        </w:rPr>
      </w:pPr>
    </w:p>
    <w:p w14:paraId="46318B46" w14:textId="77777777" w:rsidR="00E63642" w:rsidRDefault="00E63642">
      <w:pPr>
        <w:rPr>
          <w:rFonts w:ascii="Times New Roman" w:eastAsia="Times New Roman" w:hAnsi="Times New Roman" w:cs="Times New Roman"/>
        </w:rPr>
      </w:pPr>
    </w:p>
    <w:p w14:paraId="75B8C794" w14:textId="37479912" w:rsidR="00E63642" w:rsidRDefault="009C65EF">
      <w:pPr>
        <w:spacing w:after="160" w:line="278" w:lineRule="auto"/>
        <w:jc w:val="center"/>
        <w:rPr>
          <w:rFonts w:ascii="Times New Roman" w:eastAsia="Times New Roman" w:hAnsi="Times New Roman" w:cs="Times New Roman"/>
          <w:b/>
          <w:bCs/>
        </w:rPr>
      </w:pPr>
      <w:r>
        <w:rPr>
          <w:rFonts w:ascii="Times New Roman" w:eastAsia="Times New Roman" w:hAnsi="Times New Roman" w:cs="Times New Roman"/>
          <w:b/>
          <w:bCs/>
        </w:rPr>
        <w:t>PROYECTO DE ACUERDO NO. 034 DE 2026</w:t>
      </w:r>
    </w:p>
    <w:p w14:paraId="4CCD8016" w14:textId="6665288D" w:rsidR="00E63642" w:rsidRPr="00557595" w:rsidRDefault="009C65EF">
      <w:pPr>
        <w:spacing w:after="160" w:line="276" w:lineRule="auto"/>
        <w:jc w:val="center"/>
        <w:rPr>
          <w:rFonts w:eastAsia="Times New Roman"/>
          <w:bCs/>
          <w:sz w:val="28"/>
          <w:szCs w:val="28"/>
        </w:rPr>
      </w:pPr>
      <w:r w:rsidRPr="00557595">
        <w:rPr>
          <w:rFonts w:eastAsia="Times New Roman"/>
          <w:bCs/>
          <w:sz w:val="28"/>
          <w:szCs w:val="28"/>
        </w:rPr>
        <w:t>“</w:t>
      </w:r>
      <w:r w:rsidRPr="00557595">
        <w:rPr>
          <w:rFonts w:eastAsia="Times New Roman"/>
          <w:bCs/>
          <w:iCs/>
          <w:sz w:val="28"/>
          <w:szCs w:val="28"/>
        </w:rPr>
        <w:t>POR MEDIO DEL CUAL SE PROMUEVEN Y FORTALECEN LOS NEGOCIOS LOC</w:t>
      </w:r>
      <w:bookmarkStart w:id="0" w:name="_GoBack"/>
      <w:bookmarkEnd w:id="0"/>
      <w:r w:rsidRPr="00557595">
        <w:rPr>
          <w:rFonts w:eastAsia="Times New Roman"/>
          <w:bCs/>
          <w:iCs/>
          <w:sz w:val="28"/>
          <w:szCs w:val="28"/>
        </w:rPr>
        <w:t>ALES, EMPRENDIMIENTOS, MIPYMES Y CLUSTER RELACIONADOS CON LA PROTECCIÓN Y BIENESTAR DE ANIMALES DOMÉSTICOS EN EL DISTRITO CAPITAL Y SE DICTAN OTRAS DISPOSICIONES”</w:t>
      </w:r>
    </w:p>
    <w:p w14:paraId="02B7A7A2" w14:textId="77777777" w:rsidR="00E63642" w:rsidRDefault="00E63642">
      <w:pPr>
        <w:spacing w:after="160" w:line="276" w:lineRule="auto"/>
        <w:jc w:val="center"/>
        <w:rPr>
          <w:rFonts w:ascii="Times New Roman" w:eastAsia="Times New Roman" w:hAnsi="Times New Roman" w:cs="Times New Roman"/>
          <w:b/>
          <w:bCs/>
        </w:rPr>
      </w:pPr>
    </w:p>
    <w:p w14:paraId="5AA6AAF2" w14:textId="77777777" w:rsidR="00E63642" w:rsidRDefault="00BC177F">
      <w:pPr>
        <w:numPr>
          <w:ilvl w:val="0"/>
          <w:numId w:val="2"/>
        </w:numPr>
        <w:spacing w:after="160" w:line="276" w:lineRule="auto"/>
        <w:jc w:val="center"/>
        <w:rPr>
          <w:rFonts w:ascii="Times New Roman" w:eastAsia="Times New Roman" w:hAnsi="Times New Roman" w:cs="Times New Roman"/>
          <w:b/>
          <w:bCs/>
        </w:rPr>
      </w:pPr>
      <w:r>
        <w:rPr>
          <w:rFonts w:ascii="Times New Roman" w:eastAsia="Times New Roman" w:hAnsi="Times New Roman" w:cs="Times New Roman"/>
          <w:b/>
          <w:bCs/>
        </w:rPr>
        <w:t>OBJETO DEL PROYECTO.</w:t>
      </w:r>
    </w:p>
    <w:p w14:paraId="46F8EF7E" w14:textId="77777777" w:rsidR="00E63642" w:rsidRDefault="00BC177F">
      <w:pPr>
        <w:spacing w:after="160" w:line="276" w:lineRule="auto"/>
        <w:jc w:val="both"/>
        <w:rPr>
          <w:rFonts w:ascii="Times New Roman" w:eastAsia="Times New Roman" w:hAnsi="Times New Roman" w:cs="Times New Roman"/>
        </w:rPr>
      </w:pPr>
      <w:bookmarkStart w:id="1" w:name="_heading=h.30j0zll" w:colFirst="0" w:colLast="0"/>
      <w:bookmarkEnd w:id="1"/>
      <w:r>
        <w:rPr>
          <w:rFonts w:ascii="Times New Roman" w:eastAsia="Times New Roman" w:hAnsi="Times New Roman" w:cs="Times New Roman"/>
        </w:rPr>
        <w:t xml:space="preserve">El presente Proyecto de Acuerdo tiene como objeto promover y fortalecer los emprendimientos </w:t>
      </w:r>
      <w:r>
        <w:rPr>
          <w:rFonts w:ascii="Times New Roman" w:eastAsia="Times New Roman" w:hAnsi="Times New Roman" w:cs="Times New Roman"/>
          <w:highlight w:val="white"/>
        </w:rPr>
        <w:t>y</w:t>
      </w:r>
      <w:r>
        <w:rPr>
          <w:rFonts w:ascii="Times New Roman" w:eastAsia="Times New Roman" w:hAnsi="Times New Roman" w:cs="Times New Roman"/>
        </w:rPr>
        <w:t xml:space="preserve"> MIPYMES </w:t>
      </w:r>
      <w:r>
        <w:rPr>
          <w:rFonts w:ascii="Times New Roman" w:eastAsia="Times New Roman" w:hAnsi="Times New Roman" w:cs="Times New Roman"/>
          <w:highlight w:val="white"/>
        </w:rPr>
        <w:t xml:space="preserve">que cuenten con un bien o servicio dirigido a la protección y bienestar de animales </w:t>
      </w:r>
      <w:r>
        <w:rPr>
          <w:rFonts w:ascii="Times New Roman" w:eastAsia="Times New Roman" w:hAnsi="Times New Roman" w:cs="Times New Roman"/>
        </w:rPr>
        <w:t xml:space="preserve">o que hagan parte de un </w:t>
      </w:r>
      <w:r>
        <w:rPr>
          <w:rFonts w:ascii="Times New Roman" w:eastAsia="Times New Roman" w:hAnsi="Times New Roman" w:cs="Times New Roman"/>
          <w:i/>
          <w:iCs/>
        </w:rPr>
        <w:t>Clúster Animalista</w:t>
      </w:r>
      <w:r>
        <w:rPr>
          <w:rFonts w:ascii="Times New Roman" w:eastAsia="Times New Roman" w:hAnsi="Times New Roman" w:cs="Times New Roman"/>
        </w:rPr>
        <w:t xml:space="preserve"> en el Distrito Capital de Bogotá, a través de la implementación de incentivos y estrategias que fomenten la colaboración interinstitucional, el desarrollo económico, las herramientas de formación y la innovación del sector.</w:t>
      </w:r>
    </w:p>
    <w:p w14:paraId="57087CA1" w14:textId="77777777" w:rsidR="00E63642" w:rsidRDefault="00E63642">
      <w:pPr>
        <w:spacing w:line="276" w:lineRule="auto"/>
        <w:ind w:left="720"/>
        <w:rPr>
          <w:rFonts w:ascii="Times New Roman" w:eastAsia="Times New Roman" w:hAnsi="Times New Roman" w:cs="Times New Roman"/>
          <w:b/>
          <w:bCs/>
        </w:rPr>
      </w:pPr>
    </w:p>
    <w:p w14:paraId="7BA20DBE" w14:textId="77777777" w:rsidR="00E63642" w:rsidRDefault="00BC177F">
      <w:pPr>
        <w:numPr>
          <w:ilvl w:val="0"/>
          <w:numId w:val="2"/>
        </w:numPr>
        <w:spacing w:line="276" w:lineRule="auto"/>
        <w:jc w:val="center"/>
        <w:rPr>
          <w:rFonts w:ascii="Times New Roman" w:eastAsia="Times New Roman" w:hAnsi="Times New Roman" w:cs="Times New Roman"/>
          <w:b/>
          <w:bCs/>
        </w:rPr>
      </w:pPr>
      <w:r>
        <w:rPr>
          <w:rFonts w:ascii="Times New Roman" w:eastAsia="Times New Roman" w:hAnsi="Times New Roman" w:cs="Times New Roman"/>
          <w:b/>
          <w:bCs/>
        </w:rPr>
        <w:t>EXPOSICIÓN DE MOTIVOS</w:t>
      </w:r>
    </w:p>
    <w:p w14:paraId="12F62963" w14:textId="77777777" w:rsidR="00E63642" w:rsidRDefault="00E63642">
      <w:pPr>
        <w:spacing w:line="276" w:lineRule="auto"/>
        <w:ind w:left="720"/>
        <w:rPr>
          <w:rFonts w:ascii="Times New Roman" w:eastAsia="Times New Roman" w:hAnsi="Times New Roman" w:cs="Times New Roman"/>
          <w:b/>
          <w:bCs/>
        </w:rPr>
      </w:pPr>
    </w:p>
    <w:p w14:paraId="089E7C15" w14:textId="77777777" w:rsidR="00E63642" w:rsidRDefault="00BC177F">
      <w:pPr>
        <w:numPr>
          <w:ilvl w:val="1"/>
          <w:numId w:val="2"/>
        </w:numPr>
        <w:spacing w:line="276" w:lineRule="auto"/>
        <w:ind w:left="425" w:hanging="425"/>
        <w:jc w:val="both"/>
        <w:rPr>
          <w:rFonts w:ascii="Times New Roman" w:eastAsia="Times New Roman" w:hAnsi="Times New Roman" w:cs="Times New Roman"/>
          <w:b/>
          <w:bCs/>
        </w:rPr>
      </w:pPr>
      <w:r>
        <w:rPr>
          <w:rFonts w:ascii="Times New Roman" w:eastAsia="Times New Roman" w:hAnsi="Times New Roman" w:cs="Times New Roman"/>
          <w:b/>
          <w:bCs/>
        </w:rPr>
        <w:t xml:space="preserve">Antecedentes </w:t>
      </w:r>
    </w:p>
    <w:sdt>
      <w:sdtPr>
        <w:tag w:val="goog_rdk_3"/>
        <w:id w:val="-1351275322"/>
      </w:sdtPr>
      <w:sdtEndPr/>
      <w:sdtContent>
        <w:p w14:paraId="72F1B0B5" w14:textId="77777777" w:rsidR="00E63642" w:rsidRPr="005D5F94" w:rsidRDefault="009C65EF">
          <w:pPr>
            <w:jc w:val="both"/>
            <w:rPr>
              <w:b/>
              <w:bCs/>
              <w:sz w:val="22"/>
              <w:szCs w:val="22"/>
              <w:shd w:val="clear" w:color="auto" w:fill="FF9900"/>
            </w:rPr>
          </w:pPr>
          <w:sdt>
            <w:sdtPr>
              <w:tag w:val="goog_rdk_1"/>
              <w:id w:val="933497062"/>
            </w:sdtPr>
            <w:sdtEndPr/>
            <w:sdtContent>
              <w:sdt>
                <w:sdtPr>
                  <w:tag w:val="goog_rdk_2"/>
                  <w:id w:val="1180793540"/>
                </w:sdtPr>
                <w:sdtEndPr/>
                <w:sdtContent/>
              </w:sdt>
            </w:sdtContent>
          </w:sdt>
        </w:p>
      </w:sdtContent>
    </w:sdt>
    <w:tbl>
      <w:tblPr>
        <w:tblStyle w:val="af9"/>
        <w:tblW w:w="8830" w:type="dxa"/>
        <w:tblInd w:w="0" w:type="dxa"/>
        <w:tblBorders>
          <w:top w:val="single" w:sz="4" w:space="0" w:color="666666"/>
          <w:left w:val="single" w:sz="4" w:space="0" w:color="000000"/>
          <w:bottom w:val="single" w:sz="4" w:space="0" w:color="666666"/>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1271"/>
        <w:gridCol w:w="7559"/>
      </w:tblGrid>
      <w:sdt>
        <w:sdtPr>
          <w:rPr>
            <w:rFonts w:ascii="Times New Roman" w:eastAsia="Times New Roman" w:hAnsi="Times New Roman" w:cs="Times New Roman"/>
          </w:rPr>
          <w:tag w:val="goog_rdk_4"/>
          <w:id w:val="-2139967878"/>
        </w:sdtPr>
        <w:sdtEndPr/>
        <w:sdtContent>
          <w:tr w:rsidR="00E63642" w14:paraId="2A801D44" w14:textId="77777777">
            <w:tc>
              <w:tcPr>
                <w:tcW w:w="1271" w:type="dxa"/>
              </w:tcPr>
              <w:sdt>
                <w:sdtPr>
                  <w:rPr>
                    <w:rFonts w:ascii="Times New Roman" w:eastAsia="Times New Roman" w:hAnsi="Times New Roman" w:cs="Times New Roman"/>
                  </w:rPr>
                  <w:tag w:val="goog_rdk_7"/>
                  <w:id w:val="18022648"/>
                </w:sdtPr>
                <w:sdtEndPr/>
                <w:sdtContent>
                  <w:p w14:paraId="3D150D1C" w14:textId="77777777" w:rsidR="00E63642" w:rsidRPr="005D5F94" w:rsidRDefault="009C65EF">
                    <w:pPr>
                      <w:jc w:val="center"/>
                      <w:rPr>
                        <w:rFonts w:ascii="Times New Roman" w:eastAsia="Times New Roman" w:hAnsi="Times New Roman" w:cs="Times New Roman"/>
                      </w:rPr>
                    </w:pPr>
                    <w:sdt>
                      <w:sdtPr>
                        <w:rPr>
                          <w:rFonts w:ascii="Times New Roman" w:eastAsia="Times New Roman" w:hAnsi="Times New Roman" w:cs="Times New Roman"/>
                        </w:rPr>
                        <w:tag w:val="goog_rdk_5"/>
                        <w:id w:val="1603459263"/>
                      </w:sdtPr>
                      <w:sdtEndPr/>
                      <w:sdtContent>
                        <w:sdt>
                          <w:sdtPr>
                            <w:rPr>
                              <w:rFonts w:ascii="Times New Roman" w:eastAsia="Times New Roman" w:hAnsi="Times New Roman" w:cs="Times New Roman"/>
                            </w:rPr>
                            <w:tag w:val="goog_rdk_6"/>
                            <w:id w:val="456619243"/>
                          </w:sdtPr>
                          <w:sdtEndPr/>
                          <w:sdtContent>
                            <w:r w:rsidR="00BC177F" w:rsidRPr="005D5F94">
                              <w:rPr>
                                <w:rFonts w:ascii="Times New Roman" w:eastAsia="Times New Roman" w:hAnsi="Times New Roman" w:cs="Times New Roman"/>
                              </w:rPr>
                              <w:t>Proyecto de Acuerdo</w:t>
                            </w:r>
                          </w:sdtContent>
                        </w:sdt>
                      </w:sdtContent>
                    </w:sdt>
                  </w:p>
                </w:sdtContent>
              </w:sdt>
            </w:tc>
            <w:tc>
              <w:tcPr>
                <w:tcW w:w="7559" w:type="dxa"/>
              </w:tcPr>
              <w:sdt>
                <w:sdtPr>
                  <w:rPr>
                    <w:rFonts w:ascii="Times New Roman" w:eastAsia="Times New Roman" w:hAnsi="Times New Roman" w:cs="Times New Roman"/>
                  </w:rPr>
                  <w:tag w:val="goog_rdk_10"/>
                  <w:id w:val="1710938070"/>
                </w:sdtPr>
                <w:sdtEndPr/>
                <w:sdtContent>
                  <w:p w14:paraId="6BA4C0AA" w14:textId="77777777" w:rsidR="00E63642" w:rsidRPr="005D5F94" w:rsidRDefault="009C65EF">
                    <w:pPr>
                      <w:jc w:val="center"/>
                      <w:rPr>
                        <w:rFonts w:ascii="Times New Roman" w:eastAsia="Times New Roman" w:hAnsi="Times New Roman" w:cs="Times New Roman"/>
                      </w:rPr>
                    </w:pPr>
                    <w:sdt>
                      <w:sdtPr>
                        <w:rPr>
                          <w:rFonts w:ascii="Times New Roman" w:eastAsia="Times New Roman" w:hAnsi="Times New Roman" w:cs="Times New Roman"/>
                        </w:rPr>
                        <w:tag w:val="goog_rdk_8"/>
                        <w:id w:val="32948722"/>
                      </w:sdtPr>
                      <w:sdtEndPr/>
                      <w:sdtContent>
                        <w:sdt>
                          <w:sdtPr>
                            <w:rPr>
                              <w:rFonts w:ascii="Times New Roman" w:eastAsia="Times New Roman" w:hAnsi="Times New Roman" w:cs="Times New Roman"/>
                            </w:rPr>
                            <w:tag w:val="goog_rdk_9"/>
                            <w:id w:val="-819085701"/>
                          </w:sdtPr>
                          <w:sdtEndPr/>
                          <w:sdtContent>
                            <w:r w:rsidR="00BC177F" w:rsidRPr="005D5F94">
                              <w:rPr>
                                <w:rFonts w:ascii="Times New Roman" w:eastAsia="Times New Roman" w:hAnsi="Times New Roman" w:cs="Times New Roman"/>
                              </w:rPr>
                              <w:t>Trámite</w:t>
                            </w:r>
                          </w:sdtContent>
                        </w:sdt>
                      </w:sdtContent>
                    </w:sdt>
                  </w:p>
                </w:sdtContent>
              </w:sdt>
            </w:tc>
          </w:tr>
        </w:sdtContent>
      </w:sdt>
      <w:sdt>
        <w:sdtPr>
          <w:rPr>
            <w:rFonts w:ascii="Times New Roman" w:eastAsia="Times New Roman" w:hAnsi="Times New Roman" w:cs="Times New Roman"/>
          </w:rPr>
          <w:tag w:val="goog_rdk_11"/>
          <w:id w:val="1954603326"/>
        </w:sdtPr>
        <w:sdtEndPr/>
        <w:sdtContent>
          <w:tr w:rsidR="00E63642" w14:paraId="49736448" w14:textId="77777777">
            <w:tc>
              <w:tcPr>
                <w:tcW w:w="1271" w:type="dxa"/>
              </w:tcPr>
              <w:sdt>
                <w:sdtPr>
                  <w:rPr>
                    <w:rFonts w:ascii="Times New Roman" w:eastAsia="Times New Roman" w:hAnsi="Times New Roman" w:cs="Times New Roman"/>
                  </w:rPr>
                  <w:tag w:val="goog_rdk_14"/>
                  <w:id w:val="632064062"/>
                </w:sdtPr>
                <w:sdtEndPr/>
                <w:sdtContent>
                  <w:p w14:paraId="0FEF7593" w14:textId="77777777" w:rsidR="00E63642" w:rsidRPr="005D5F94" w:rsidRDefault="009C65EF">
                    <w:pPr>
                      <w:jc w:val="center"/>
                      <w:rPr>
                        <w:rFonts w:ascii="Times New Roman" w:eastAsia="Times New Roman" w:hAnsi="Times New Roman" w:cs="Times New Roman"/>
                      </w:rPr>
                    </w:pPr>
                    <w:sdt>
                      <w:sdtPr>
                        <w:rPr>
                          <w:rFonts w:ascii="Times New Roman" w:eastAsia="Times New Roman" w:hAnsi="Times New Roman" w:cs="Times New Roman"/>
                        </w:rPr>
                        <w:tag w:val="goog_rdk_12"/>
                        <w:id w:val="-1877388586"/>
                      </w:sdtPr>
                      <w:sdtEndPr/>
                      <w:sdtContent>
                        <w:sdt>
                          <w:sdtPr>
                            <w:rPr>
                              <w:rFonts w:ascii="Times New Roman" w:eastAsia="Times New Roman" w:hAnsi="Times New Roman" w:cs="Times New Roman"/>
                            </w:rPr>
                            <w:tag w:val="goog_rdk_13"/>
                            <w:id w:val="1459888093"/>
                          </w:sdtPr>
                          <w:sdtEndPr/>
                          <w:sdtContent>
                            <w:r w:rsidR="00BC177F" w:rsidRPr="005D5F94">
                              <w:rPr>
                                <w:rFonts w:ascii="Times New Roman" w:eastAsia="Times New Roman" w:hAnsi="Times New Roman" w:cs="Times New Roman"/>
                              </w:rPr>
                              <w:t>659 de 2025</w:t>
                            </w:r>
                          </w:sdtContent>
                        </w:sdt>
                      </w:sdtContent>
                    </w:sdt>
                  </w:p>
                </w:sdtContent>
              </w:sdt>
            </w:tc>
            <w:tc>
              <w:tcPr>
                <w:tcW w:w="7559" w:type="dxa"/>
              </w:tcPr>
              <w:sdt>
                <w:sdtPr>
                  <w:rPr>
                    <w:rFonts w:ascii="Times New Roman" w:eastAsia="Times New Roman" w:hAnsi="Times New Roman" w:cs="Times New Roman"/>
                  </w:rPr>
                  <w:tag w:val="goog_rdk_17"/>
                  <w:id w:val="-1339473493"/>
                </w:sdtPr>
                <w:sdtEndPr/>
                <w:sdtContent>
                  <w:p w14:paraId="707E40E5" w14:textId="77777777" w:rsidR="00E63642" w:rsidRPr="005D5F94" w:rsidRDefault="009C65EF">
                    <w:pPr>
                      <w:jc w:val="both"/>
                      <w:rPr>
                        <w:rFonts w:ascii="Times New Roman" w:eastAsia="Times New Roman" w:hAnsi="Times New Roman" w:cs="Times New Roman"/>
                      </w:rPr>
                    </w:pPr>
                    <w:sdt>
                      <w:sdtPr>
                        <w:rPr>
                          <w:rFonts w:ascii="Times New Roman" w:eastAsia="Times New Roman" w:hAnsi="Times New Roman" w:cs="Times New Roman"/>
                        </w:rPr>
                        <w:tag w:val="goog_rdk_15"/>
                        <w:id w:val="-1261116643"/>
                      </w:sdtPr>
                      <w:sdtEndPr/>
                      <w:sdtContent>
                        <w:sdt>
                          <w:sdtPr>
                            <w:rPr>
                              <w:rFonts w:ascii="Times New Roman" w:eastAsia="Times New Roman" w:hAnsi="Times New Roman" w:cs="Times New Roman"/>
                            </w:rPr>
                            <w:tag w:val="goog_rdk_16"/>
                            <w:id w:val="1859982732"/>
                          </w:sdtPr>
                          <w:sdtEndPr/>
                          <w:sdtContent>
                            <w:r w:rsidR="00BC177F" w:rsidRPr="005D5F94">
                              <w:rPr>
                                <w:rFonts w:ascii="Times New Roman" w:eastAsia="Times New Roman" w:hAnsi="Times New Roman" w:cs="Times New Roman"/>
                              </w:rPr>
                              <w:t>El proyecto contó con Ponencia positiva con modificaciones, fue archivado de conformidad con el artículo 79 del Acuerdo 741 de 2019. Se procede al Desarchivo y se re enumera  con el 933 de 2025.</w:t>
                            </w:r>
                          </w:sdtContent>
                        </w:sdt>
                      </w:sdtContent>
                    </w:sdt>
                  </w:p>
                </w:sdtContent>
              </w:sdt>
              <w:sdt>
                <w:sdtPr>
                  <w:rPr>
                    <w:rFonts w:ascii="Times New Roman" w:eastAsia="Times New Roman" w:hAnsi="Times New Roman" w:cs="Times New Roman"/>
                  </w:rPr>
                  <w:tag w:val="goog_rdk_20"/>
                  <w:id w:val="227183087"/>
                </w:sdtPr>
                <w:sdtEndPr/>
                <w:sdtContent>
                  <w:p w14:paraId="368C8FBF" w14:textId="77777777" w:rsidR="00E63642" w:rsidRPr="005D5F94" w:rsidRDefault="009C65EF">
                    <w:pPr>
                      <w:jc w:val="both"/>
                      <w:rPr>
                        <w:rFonts w:ascii="Times New Roman" w:eastAsia="Times New Roman" w:hAnsi="Times New Roman" w:cs="Times New Roman"/>
                      </w:rPr>
                    </w:pPr>
                    <w:sdt>
                      <w:sdtPr>
                        <w:rPr>
                          <w:rFonts w:ascii="Times New Roman" w:eastAsia="Times New Roman" w:hAnsi="Times New Roman" w:cs="Times New Roman"/>
                        </w:rPr>
                        <w:tag w:val="goog_rdk_18"/>
                        <w:id w:val="849368732"/>
                      </w:sdtPr>
                      <w:sdtEndPr/>
                      <w:sdtContent>
                        <w:sdt>
                          <w:sdtPr>
                            <w:rPr>
                              <w:rFonts w:ascii="Times New Roman" w:eastAsia="Times New Roman" w:hAnsi="Times New Roman" w:cs="Times New Roman"/>
                            </w:rPr>
                            <w:tag w:val="goog_rdk_19"/>
                            <w:id w:val="1898152496"/>
                          </w:sdtPr>
                          <w:sdtEndPr/>
                          <w:sdtContent/>
                        </w:sdt>
                      </w:sdtContent>
                    </w:sdt>
                  </w:p>
                </w:sdtContent>
              </w:sdt>
            </w:tc>
          </w:tr>
        </w:sdtContent>
      </w:sdt>
    </w:tbl>
    <w:sdt>
      <w:sdtPr>
        <w:tag w:val="goog_rdk_22"/>
        <w:id w:val="1304223129"/>
      </w:sdtPr>
      <w:sdtEndPr/>
      <w:sdtContent>
        <w:p w14:paraId="6ADB0C73" w14:textId="77777777" w:rsidR="00E63642" w:rsidRPr="005D5F94" w:rsidRDefault="009C65EF">
          <w:pPr>
            <w:rPr>
              <w:b/>
              <w:bCs/>
              <w:sz w:val="22"/>
              <w:szCs w:val="22"/>
              <w:shd w:val="clear" w:color="auto" w:fill="FF9900"/>
            </w:rPr>
          </w:pPr>
          <w:sdt>
            <w:sdtPr>
              <w:tag w:val="goog_rdk_21"/>
              <w:id w:val="-616912823"/>
            </w:sdtPr>
            <w:sdtEndPr/>
            <w:sdtContent/>
          </w:sdt>
        </w:p>
      </w:sdtContent>
    </w:sdt>
    <w:p w14:paraId="70798000" w14:textId="77777777" w:rsidR="00E63642" w:rsidRDefault="00E63642">
      <w:pPr>
        <w:spacing w:line="276" w:lineRule="auto"/>
        <w:ind w:left="1080"/>
        <w:jc w:val="both"/>
        <w:rPr>
          <w:rFonts w:ascii="Times New Roman" w:eastAsia="Times New Roman" w:hAnsi="Times New Roman" w:cs="Times New Roman"/>
          <w:b/>
          <w:bCs/>
        </w:rPr>
      </w:pPr>
    </w:p>
    <w:p w14:paraId="00307352" w14:textId="77777777" w:rsidR="00E63642" w:rsidRDefault="00E63642">
      <w:pPr>
        <w:spacing w:line="276" w:lineRule="auto"/>
        <w:ind w:left="1080"/>
        <w:jc w:val="both"/>
        <w:rPr>
          <w:rFonts w:ascii="Times New Roman" w:eastAsia="Times New Roman" w:hAnsi="Times New Roman" w:cs="Times New Roman"/>
          <w:b/>
          <w:bCs/>
        </w:rPr>
      </w:pPr>
    </w:p>
    <w:p w14:paraId="5DC4B2E1" w14:textId="77777777" w:rsidR="00E63642" w:rsidRDefault="00BC177F">
      <w:pPr>
        <w:numPr>
          <w:ilvl w:val="1"/>
          <w:numId w:val="2"/>
        </w:numPr>
        <w:spacing w:line="276" w:lineRule="auto"/>
        <w:ind w:left="425" w:hanging="425"/>
        <w:jc w:val="both"/>
        <w:rPr>
          <w:rFonts w:ascii="Times New Roman" w:eastAsia="Times New Roman" w:hAnsi="Times New Roman" w:cs="Times New Roman"/>
          <w:b/>
          <w:bCs/>
        </w:rPr>
      </w:pPr>
      <w:r>
        <w:rPr>
          <w:rFonts w:ascii="Times New Roman" w:eastAsia="Times New Roman" w:hAnsi="Times New Roman" w:cs="Times New Roman"/>
          <w:b/>
          <w:bCs/>
        </w:rPr>
        <w:lastRenderedPageBreak/>
        <w:t>Análisis y contexto del problema</w:t>
      </w:r>
    </w:p>
    <w:p w14:paraId="5E0F5461" w14:textId="77777777" w:rsidR="00E63642" w:rsidRDefault="00E63642">
      <w:pPr>
        <w:spacing w:line="276" w:lineRule="auto"/>
        <w:ind w:left="1080"/>
        <w:jc w:val="both"/>
        <w:rPr>
          <w:rFonts w:ascii="Times New Roman" w:eastAsia="Times New Roman" w:hAnsi="Times New Roman" w:cs="Times New Roman"/>
          <w:b/>
          <w:bCs/>
        </w:rPr>
      </w:pPr>
    </w:p>
    <w:p w14:paraId="0D24F205" w14:textId="77777777" w:rsidR="00E63642" w:rsidRDefault="00E63642">
      <w:pPr>
        <w:spacing w:line="276" w:lineRule="auto"/>
        <w:jc w:val="both"/>
        <w:rPr>
          <w:rFonts w:ascii="Times New Roman" w:eastAsia="Times New Roman" w:hAnsi="Times New Roman" w:cs="Times New Roman"/>
          <w:b/>
          <w:bCs/>
        </w:rPr>
      </w:pPr>
    </w:p>
    <w:p w14:paraId="5D65690E"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Al igual que a nivel Colombia, la economía bogotana ha tenido un 2024 turbulento con lentos indicadores de crecimiento del Producto Interno Bruto (PIB) y algunos sectores estancados. Según la información publicada por el </w:t>
      </w:r>
      <w:proofErr w:type="spellStart"/>
      <w:r>
        <w:rPr>
          <w:rFonts w:ascii="Times New Roman" w:eastAsia="Times New Roman" w:hAnsi="Times New Roman" w:cs="Times New Roman"/>
        </w:rPr>
        <w:t>Dane</w:t>
      </w:r>
      <w:proofErr w:type="spellEnd"/>
      <w:r>
        <w:rPr>
          <w:rFonts w:ascii="Times New Roman" w:eastAsia="Times New Roman" w:hAnsi="Times New Roman" w:cs="Times New Roman"/>
        </w:rPr>
        <w:t>, en el primer trimestre de 2024 la ciudad tuvo un crecimiento del PIB de 0,9% frente al primer trimestre de 2023. Este crecimiento económico de la ciudad estuvo apenas 0.1 puntos porcentuales por encima del crecimiento de la Nación (0.8) y representa el segundo trimestre más bajo de crecimiento del PIB en los últimos 12 años, con excepción de los tres últimos tres trimestres de 2020 que fue el año de la pandemia</w:t>
      </w:r>
      <w:r>
        <w:rPr>
          <w:rFonts w:ascii="Times New Roman" w:eastAsia="Times New Roman" w:hAnsi="Times New Roman" w:cs="Times New Roman"/>
          <w:vertAlign w:val="superscript"/>
        </w:rPr>
        <w:footnoteReference w:id="1"/>
      </w:r>
      <w:r>
        <w:rPr>
          <w:rFonts w:ascii="Times New Roman" w:eastAsia="Times New Roman" w:hAnsi="Times New Roman" w:cs="Times New Roman"/>
        </w:rPr>
        <w:t xml:space="preserve"> y que responde a una tendencia que viene configurándose desde 2023 cuando el crecimiento anual del PIB fue de 0,6% en comparación con el 2022.</w:t>
      </w:r>
      <w:r>
        <w:rPr>
          <w:rFonts w:ascii="Times New Roman" w:eastAsia="Times New Roman" w:hAnsi="Times New Roman" w:cs="Times New Roman"/>
          <w:vertAlign w:val="superscript"/>
        </w:rPr>
        <w:footnoteReference w:id="2"/>
      </w:r>
    </w:p>
    <w:p w14:paraId="167C239E" w14:textId="77777777" w:rsidR="00E63642" w:rsidRDefault="00BC177F">
      <w:pPr>
        <w:keepNext/>
        <w:spacing w:after="160" w:line="276" w:lineRule="auto"/>
        <w:jc w:val="center"/>
        <w:rPr>
          <w:rFonts w:ascii="Times New Roman" w:eastAsia="Times New Roman" w:hAnsi="Times New Roman" w:cs="Times New Roman"/>
        </w:rPr>
      </w:pPr>
      <w:r>
        <w:rPr>
          <w:rFonts w:ascii="Times New Roman" w:eastAsia="Times New Roman" w:hAnsi="Times New Roman" w:cs="Times New Roman"/>
          <w:noProof/>
          <w:lang w:val="es-CO"/>
        </w:rPr>
        <w:lastRenderedPageBreak/>
        <w:drawing>
          <wp:inline distT="0" distB="0" distL="0" distR="0" wp14:anchorId="1309CFB8" wp14:editId="7A729291">
            <wp:extent cx="4437058" cy="2585522"/>
            <wp:effectExtent l="0" t="0" r="0" b="0"/>
            <wp:docPr id="1798862551" name="image6.png" descr="Gráfica PIB Bogotá D.C."/>
            <wp:cNvGraphicFramePr/>
            <a:graphic xmlns:a="http://schemas.openxmlformats.org/drawingml/2006/main">
              <a:graphicData uri="http://schemas.openxmlformats.org/drawingml/2006/picture">
                <pic:pic xmlns:pic="http://schemas.openxmlformats.org/drawingml/2006/picture">
                  <pic:nvPicPr>
                    <pic:cNvPr id="0" name="image6.png" descr="Gráfica PIB Bogotá D.C."/>
                    <pic:cNvPicPr preferRelativeResize="0"/>
                  </pic:nvPicPr>
                  <pic:blipFill>
                    <a:blip r:embed="rId9"/>
                    <a:srcRect/>
                    <a:stretch>
                      <a:fillRect/>
                    </a:stretch>
                  </pic:blipFill>
                  <pic:spPr>
                    <a:xfrm>
                      <a:off x="0" y="0"/>
                      <a:ext cx="4437058" cy="2585522"/>
                    </a:xfrm>
                    <a:prstGeom prst="rect">
                      <a:avLst/>
                    </a:prstGeom>
                    <a:ln/>
                  </pic:spPr>
                </pic:pic>
              </a:graphicData>
            </a:graphic>
          </wp:inline>
        </w:drawing>
      </w:r>
    </w:p>
    <w:p w14:paraId="336F1C99" w14:textId="77777777" w:rsidR="00E63642" w:rsidRDefault="00BC177F">
      <w:pPr>
        <w:spacing w:line="276" w:lineRule="auto"/>
        <w:jc w:val="center"/>
        <w:rPr>
          <w:rFonts w:ascii="Times New Roman" w:eastAsia="Times New Roman" w:hAnsi="Times New Roman" w:cs="Times New Roman"/>
          <w:i/>
          <w:iCs/>
          <w:color w:val="0E2841"/>
          <w:sz w:val="18"/>
          <w:szCs w:val="18"/>
        </w:rPr>
      </w:pPr>
      <w:r>
        <w:rPr>
          <w:rFonts w:ascii="Times New Roman" w:eastAsia="Times New Roman" w:hAnsi="Times New Roman" w:cs="Times New Roman"/>
          <w:i/>
          <w:iCs/>
          <w:color w:val="0E2841"/>
          <w:sz w:val="18"/>
          <w:szCs w:val="18"/>
        </w:rPr>
        <w:t xml:space="preserve">Figura  1. Comportamiento del PIB en Bogotá 2019 - 2024. </w:t>
      </w:r>
    </w:p>
    <w:p w14:paraId="48A8D5E6" w14:textId="77777777" w:rsidR="00E63642" w:rsidRDefault="00BC177F">
      <w:pPr>
        <w:spacing w:line="276" w:lineRule="auto"/>
        <w:jc w:val="center"/>
        <w:rPr>
          <w:rFonts w:ascii="Times New Roman" w:eastAsia="Times New Roman" w:hAnsi="Times New Roman" w:cs="Times New Roman"/>
          <w:i/>
          <w:iCs/>
          <w:color w:val="0E2841"/>
          <w:sz w:val="18"/>
          <w:szCs w:val="18"/>
        </w:rPr>
      </w:pPr>
      <w:r>
        <w:rPr>
          <w:rFonts w:ascii="Times New Roman" w:eastAsia="Times New Roman" w:hAnsi="Times New Roman" w:cs="Times New Roman"/>
          <w:i/>
          <w:iCs/>
          <w:color w:val="0E2841"/>
          <w:sz w:val="18"/>
          <w:szCs w:val="18"/>
        </w:rPr>
        <w:t xml:space="preserve">Fuente y elaboración: </w:t>
      </w:r>
      <w:proofErr w:type="spellStart"/>
      <w:r>
        <w:rPr>
          <w:rFonts w:ascii="Times New Roman" w:eastAsia="Times New Roman" w:hAnsi="Times New Roman" w:cs="Times New Roman"/>
          <w:i/>
          <w:iCs/>
          <w:color w:val="0E2841"/>
          <w:sz w:val="18"/>
          <w:szCs w:val="18"/>
        </w:rPr>
        <w:t>Dane</w:t>
      </w:r>
      <w:proofErr w:type="spellEnd"/>
      <w:r>
        <w:rPr>
          <w:rFonts w:ascii="Times New Roman" w:eastAsia="Times New Roman" w:hAnsi="Times New Roman" w:cs="Times New Roman"/>
          <w:i/>
          <w:iCs/>
          <w:color w:val="0E2841"/>
          <w:sz w:val="18"/>
          <w:szCs w:val="18"/>
        </w:rPr>
        <w:t>.</w:t>
      </w:r>
    </w:p>
    <w:p w14:paraId="1022BADD" w14:textId="77777777" w:rsidR="00E63642" w:rsidRDefault="00E63642">
      <w:pPr>
        <w:spacing w:after="160" w:line="276" w:lineRule="auto"/>
        <w:jc w:val="both"/>
        <w:rPr>
          <w:rFonts w:ascii="Times New Roman" w:eastAsia="Times New Roman" w:hAnsi="Times New Roman" w:cs="Times New Roman"/>
        </w:rPr>
      </w:pPr>
    </w:p>
    <w:p w14:paraId="1F676FC0"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De otro lado, la tasa de empleo de la ciudad se mantuvo en dos dígitos al ubicarse en 10% en el trimestre móvil mayo – julio de 2024, superando en 0.1 puntos porcentuales los resultados a nivel nacional y con una tasa notablemente superior a las de Santa Marta (9.1), Medellín (9.0) y Bucaramanga (8.4)</w:t>
      </w:r>
      <w:r>
        <w:rPr>
          <w:rFonts w:ascii="Times New Roman" w:eastAsia="Times New Roman" w:hAnsi="Times New Roman" w:cs="Times New Roman"/>
          <w:vertAlign w:val="superscript"/>
        </w:rPr>
        <w:footnoteReference w:id="3"/>
      </w:r>
      <w:r>
        <w:rPr>
          <w:rFonts w:ascii="Times New Roman" w:eastAsia="Times New Roman" w:hAnsi="Times New Roman" w:cs="Times New Roman"/>
        </w:rPr>
        <w:t>.</w:t>
      </w:r>
    </w:p>
    <w:p w14:paraId="5E36ECD1"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De otro lado, la inflación en la ciudad ha seguido subiendo durante 2024, a pesar de que sea a un ritmo menor del registrado en 2023. Cifras de la Secretaría Distrital de Desarrollo Económico dan cuenta de que entre enero y julio de 2024, la variación del Índice de Precios al Consumidor (IPC) en Bogotá fue de 4,72%; 2,24 puntos porcentuales por debajo de la cifra obtenida en el mismo periodo de 2023, que fue de 6,96 %</w:t>
      </w:r>
      <w:r>
        <w:rPr>
          <w:rFonts w:ascii="Times New Roman" w:eastAsia="Times New Roman" w:hAnsi="Times New Roman" w:cs="Times New Roman"/>
          <w:vertAlign w:val="superscript"/>
        </w:rPr>
        <w:footnoteReference w:id="4"/>
      </w:r>
      <w:r>
        <w:rPr>
          <w:rFonts w:ascii="Times New Roman" w:eastAsia="Times New Roman" w:hAnsi="Times New Roman" w:cs="Times New Roman"/>
        </w:rPr>
        <w:t>.</w:t>
      </w:r>
    </w:p>
    <w:p w14:paraId="7C28067B"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 Los tres indicadores revelan que, si bien la ciudad está lejos de una recesión, hay signos de estancamiento que han dificultado lograr el desempeño económico de años anteriores, incluso después de la pandemia.</w:t>
      </w:r>
    </w:p>
    <w:p w14:paraId="268DA6DA" w14:textId="77777777" w:rsidR="00E63642" w:rsidRDefault="00BC177F">
      <w:pPr>
        <w:numPr>
          <w:ilvl w:val="2"/>
          <w:numId w:val="2"/>
        </w:numPr>
        <w:spacing w:after="160" w:line="276" w:lineRule="auto"/>
        <w:ind w:left="566" w:hanging="566"/>
        <w:jc w:val="both"/>
        <w:rPr>
          <w:rFonts w:ascii="Times New Roman" w:eastAsia="Times New Roman" w:hAnsi="Times New Roman" w:cs="Times New Roman"/>
          <w:b/>
          <w:bCs/>
        </w:rPr>
      </w:pPr>
      <w:r>
        <w:rPr>
          <w:rFonts w:ascii="Times New Roman" w:eastAsia="Times New Roman" w:hAnsi="Times New Roman" w:cs="Times New Roman"/>
          <w:b/>
          <w:bCs/>
        </w:rPr>
        <w:t>Ventas a la baja en distintos sectores y expectativas lentas de crecimiento</w:t>
      </w:r>
    </w:p>
    <w:p w14:paraId="2346D0F0"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El Banco de la República realiza una encuesta mensual de perspectivas económicas a 383 empresas de los sectores más relevantes y en ella se aprecia una fuerte caída de las ventas en el último año y en 5 de los 6 sectores medidos. Frente a la pregunta relativa al crecimiento del volumen de ventas de en los últimos 12 meses comparado con el crecimiento del volumen de ventas de los 12 meses anteriores, los empresarios del sector agricultura reportan -25%, los de la industria -34%, la construcción -14%, el comercio -20.9% y transporte y telecomunicaciones -12.7%. En los casos de la agricultura, industria y transporte y telecomunicaciones, sus perspectivas frente a los 12 meses siguientes bajaron en la última encuesta</w:t>
      </w:r>
      <w:r>
        <w:rPr>
          <w:rFonts w:ascii="Times New Roman" w:eastAsia="Times New Roman" w:hAnsi="Times New Roman" w:cs="Times New Roman"/>
          <w:vertAlign w:val="superscript"/>
        </w:rPr>
        <w:footnoteReference w:id="5"/>
      </w:r>
      <w:r>
        <w:rPr>
          <w:rFonts w:ascii="Times New Roman" w:eastAsia="Times New Roman" w:hAnsi="Times New Roman" w:cs="Times New Roman"/>
        </w:rPr>
        <w:t>.</w:t>
      </w:r>
    </w:p>
    <w:p w14:paraId="6ECA558F"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Por su parte, el Departamento Nacional de Planeación (DNP) informó que las ventas minoristas  en mayo de 2024 se redujeron -1,7%, mostrando una cifra similar a la de abril de este mismo año y manteniendo la senda negativa presente en el país desde enero de 2023 y justamente destaca la reducción de -1,6 en Bogotá como “la contribución más negativa”</w:t>
      </w:r>
      <w:r>
        <w:rPr>
          <w:rFonts w:ascii="Times New Roman" w:eastAsia="Times New Roman" w:hAnsi="Times New Roman" w:cs="Times New Roman"/>
          <w:vertAlign w:val="superscript"/>
        </w:rPr>
        <w:footnoteReference w:id="6"/>
      </w:r>
      <w:r>
        <w:rPr>
          <w:rFonts w:ascii="Times New Roman" w:eastAsia="Times New Roman" w:hAnsi="Times New Roman" w:cs="Times New Roman"/>
        </w:rPr>
        <w:t>.</w:t>
      </w:r>
    </w:p>
    <w:p w14:paraId="63414F00" w14:textId="77777777" w:rsidR="00E63642" w:rsidRDefault="00BC177F">
      <w:pPr>
        <w:keepNext/>
        <w:spacing w:after="160" w:line="276" w:lineRule="auto"/>
        <w:jc w:val="center"/>
        <w:rPr>
          <w:rFonts w:ascii="Times New Roman" w:eastAsia="Times New Roman" w:hAnsi="Times New Roman" w:cs="Times New Roman"/>
        </w:rPr>
      </w:pPr>
      <w:r>
        <w:rPr>
          <w:rFonts w:ascii="Times New Roman" w:eastAsia="Times New Roman" w:hAnsi="Times New Roman" w:cs="Times New Roman"/>
          <w:noProof/>
          <w:lang w:val="es-CO"/>
        </w:rPr>
        <w:lastRenderedPageBreak/>
        <w:drawing>
          <wp:inline distT="0" distB="0" distL="0" distR="0" wp14:anchorId="186DC4E1" wp14:editId="4626BD7C">
            <wp:extent cx="5612130" cy="2379980"/>
            <wp:effectExtent l="0" t="0" r="0" b="0"/>
            <wp:docPr id="1798862553" name="image2.png" descr="Interfaz de usuario gráfic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2.png" descr="Interfaz de usuario gráfica&#10;&#10;Descripción generada automáticamente con confianza media"/>
                    <pic:cNvPicPr preferRelativeResize="0"/>
                  </pic:nvPicPr>
                  <pic:blipFill>
                    <a:blip r:embed="rId10"/>
                    <a:srcRect/>
                    <a:stretch>
                      <a:fillRect/>
                    </a:stretch>
                  </pic:blipFill>
                  <pic:spPr>
                    <a:xfrm>
                      <a:off x="0" y="0"/>
                      <a:ext cx="5612130" cy="2379980"/>
                    </a:xfrm>
                    <a:prstGeom prst="rect">
                      <a:avLst/>
                    </a:prstGeom>
                    <a:ln/>
                  </pic:spPr>
                </pic:pic>
              </a:graphicData>
            </a:graphic>
          </wp:inline>
        </w:drawing>
      </w:r>
    </w:p>
    <w:p w14:paraId="5B809D2C" w14:textId="77777777" w:rsidR="00E63642" w:rsidRDefault="00BC177F">
      <w:pPr>
        <w:pBdr>
          <w:top w:val="nil"/>
          <w:left w:val="nil"/>
          <w:bottom w:val="nil"/>
          <w:right w:val="nil"/>
          <w:between w:val="nil"/>
        </w:pBdr>
        <w:spacing w:line="276" w:lineRule="auto"/>
        <w:jc w:val="center"/>
        <w:rPr>
          <w:rFonts w:ascii="Times New Roman" w:eastAsia="Times New Roman" w:hAnsi="Times New Roman" w:cs="Times New Roman"/>
          <w:i/>
          <w:iCs/>
          <w:color w:val="0E2841"/>
          <w:sz w:val="18"/>
          <w:szCs w:val="18"/>
        </w:rPr>
      </w:pPr>
      <w:r>
        <w:rPr>
          <w:rFonts w:ascii="Times New Roman" w:eastAsia="Times New Roman" w:hAnsi="Times New Roman" w:cs="Times New Roman"/>
          <w:i/>
          <w:iCs/>
          <w:color w:val="0E2841"/>
          <w:sz w:val="18"/>
          <w:szCs w:val="18"/>
        </w:rPr>
        <w:t xml:space="preserve">Figura 2. Comportamiento de las ventas minoristas por regiones Mayo 2024. </w:t>
      </w:r>
    </w:p>
    <w:p w14:paraId="701A8995" w14:textId="77777777" w:rsidR="00E63642" w:rsidRDefault="00BC177F">
      <w:pPr>
        <w:pBdr>
          <w:top w:val="nil"/>
          <w:left w:val="nil"/>
          <w:bottom w:val="nil"/>
          <w:right w:val="nil"/>
          <w:between w:val="nil"/>
        </w:pBdr>
        <w:spacing w:line="276" w:lineRule="auto"/>
        <w:jc w:val="center"/>
        <w:rPr>
          <w:rFonts w:ascii="Times New Roman" w:eastAsia="Times New Roman" w:hAnsi="Times New Roman" w:cs="Times New Roman"/>
          <w:i/>
          <w:iCs/>
          <w:color w:val="0E2841"/>
          <w:sz w:val="18"/>
          <w:szCs w:val="18"/>
        </w:rPr>
      </w:pPr>
      <w:r>
        <w:rPr>
          <w:rFonts w:ascii="Times New Roman" w:eastAsia="Times New Roman" w:hAnsi="Times New Roman" w:cs="Times New Roman"/>
          <w:i/>
          <w:iCs/>
          <w:color w:val="0E2841"/>
          <w:sz w:val="18"/>
          <w:szCs w:val="18"/>
        </w:rPr>
        <w:t xml:space="preserve">Fuente: </w:t>
      </w:r>
      <w:proofErr w:type="spellStart"/>
      <w:r>
        <w:rPr>
          <w:rFonts w:ascii="Times New Roman" w:eastAsia="Times New Roman" w:hAnsi="Times New Roman" w:cs="Times New Roman"/>
          <w:i/>
          <w:iCs/>
          <w:color w:val="0E2841"/>
          <w:sz w:val="18"/>
          <w:szCs w:val="18"/>
        </w:rPr>
        <w:t>Dane</w:t>
      </w:r>
      <w:proofErr w:type="spellEnd"/>
      <w:r>
        <w:rPr>
          <w:rFonts w:ascii="Times New Roman" w:eastAsia="Times New Roman" w:hAnsi="Times New Roman" w:cs="Times New Roman"/>
          <w:i/>
          <w:iCs/>
          <w:color w:val="0E2841"/>
          <w:sz w:val="18"/>
          <w:szCs w:val="18"/>
        </w:rPr>
        <w:t>. Elaboró: DNP.</w:t>
      </w:r>
    </w:p>
    <w:p w14:paraId="451D08D9" w14:textId="77777777" w:rsidR="00E63642" w:rsidRDefault="00E63642">
      <w:pPr>
        <w:pBdr>
          <w:top w:val="nil"/>
          <w:left w:val="nil"/>
          <w:bottom w:val="nil"/>
          <w:right w:val="nil"/>
          <w:between w:val="nil"/>
        </w:pBdr>
        <w:spacing w:line="276" w:lineRule="auto"/>
        <w:jc w:val="center"/>
        <w:rPr>
          <w:rFonts w:ascii="Times New Roman" w:eastAsia="Times New Roman" w:hAnsi="Times New Roman" w:cs="Times New Roman"/>
          <w:i/>
          <w:iCs/>
          <w:color w:val="0E2841"/>
          <w:sz w:val="18"/>
          <w:szCs w:val="18"/>
        </w:rPr>
      </w:pPr>
    </w:p>
    <w:p w14:paraId="05E94015" w14:textId="77777777" w:rsidR="00E63642" w:rsidRDefault="00BC177F">
      <w:pPr>
        <w:numPr>
          <w:ilvl w:val="2"/>
          <w:numId w:val="2"/>
        </w:numPr>
        <w:spacing w:after="160" w:line="276" w:lineRule="auto"/>
        <w:ind w:left="566" w:hanging="566"/>
        <w:jc w:val="both"/>
        <w:rPr>
          <w:rFonts w:ascii="Times New Roman" w:eastAsia="Times New Roman" w:hAnsi="Times New Roman" w:cs="Times New Roman"/>
          <w:b/>
          <w:bCs/>
        </w:rPr>
      </w:pPr>
      <w:r>
        <w:rPr>
          <w:rFonts w:ascii="Times New Roman" w:eastAsia="Times New Roman" w:hAnsi="Times New Roman" w:cs="Times New Roman"/>
          <w:b/>
          <w:bCs/>
        </w:rPr>
        <w:t>Barreras de acceso al sector financiero</w:t>
      </w:r>
    </w:p>
    <w:p w14:paraId="604C1189"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Otro de los problemas que afecta el desempeño económico de las micro y pequeñas unidades productivas y comerciales tiene que ver con el acceso a crédito. Se estima que cerca del 85% de los micronegocios no acude al sistema financiero y que una quinta parte de estos se financia con créditos familiares o a través de métodos de usura como el denominado ‘gota a gota’. Apenas 1 de cada 10 negocios se crean a través de créditos formales</w:t>
      </w:r>
      <w:r>
        <w:rPr>
          <w:rFonts w:ascii="Times New Roman" w:eastAsia="Times New Roman" w:hAnsi="Times New Roman" w:cs="Times New Roman"/>
          <w:vertAlign w:val="superscript"/>
        </w:rPr>
        <w:footnoteReference w:id="7"/>
      </w:r>
      <w:r>
        <w:rPr>
          <w:rFonts w:ascii="Times New Roman" w:eastAsia="Times New Roman" w:hAnsi="Times New Roman" w:cs="Times New Roman"/>
        </w:rPr>
        <w:t>.</w:t>
      </w:r>
    </w:p>
    <w:p w14:paraId="61499F8A"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Este indicador de acceso a créditos también ha demostrado resultados negativos, a pesar de que más gente está accediendo a productos financieros pero especialmente a cuentas de ahorro y billeteras digitales. Para 2023, el 35,3% de adultos tenía productos de financiamiento, lo cual representó un punto porcentual menos que 2022 pero que resulta llamativo por ser contrario a la tendencia general del sector</w:t>
      </w:r>
      <w:r>
        <w:rPr>
          <w:rFonts w:ascii="Times New Roman" w:eastAsia="Times New Roman" w:hAnsi="Times New Roman" w:cs="Times New Roman"/>
          <w:vertAlign w:val="superscript"/>
        </w:rPr>
        <w:footnoteReference w:id="8"/>
      </w:r>
      <w:r>
        <w:rPr>
          <w:rFonts w:ascii="Times New Roman" w:eastAsia="Times New Roman" w:hAnsi="Times New Roman" w:cs="Times New Roman"/>
        </w:rPr>
        <w:t>.</w:t>
      </w:r>
    </w:p>
    <w:p w14:paraId="607A6B1D"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Adicionalmente, sigue siendo una alerta la brecha aún existente de casi 7 puntos porcentuales entre el acceso a productos financieros que tienen los hombres (97.7%) sobre el que tienen las mujeres (91%)</w:t>
      </w:r>
      <w:r>
        <w:rPr>
          <w:rFonts w:ascii="Times New Roman" w:eastAsia="Times New Roman" w:hAnsi="Times New Roman" w:cs="Times New Roman"/>
          <w:vertAlign w:val="superscript"/>
        </w:rPr>
        <w:footnoteReference w:id="9"/>
      </w:r>
      <w:r>
        <w:rPr>
          <w:rFonts w:ascii="Times New Roman" w:eastAsia="Times New Roman" w:hAnsi="Times New Roman" w:cs="Times New Roman"/>
        </w:rPr>
        <w:t>. Así como la brecha entre el sector urbano y el sector rural, la cual es de más de 33 puntos porcentuales. Mientras en las ciudades hay acceso al sistema de casi 100%, en los municipios rurales es de apenas 65.6%, una realidad que además golpea a las zonas rurales dispersas de Bogotá en localidades como Usme y Sumapaz.</w:t>
      </w:r>
    </w:p>
    <w:p w14:paraId="536C2CA6"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De esta forma, los indicadores muestran un panorama difícil, sobre todo, para las micro, pequeñas y medianas empresas que son más vulnerables ante las dificultades de la coyuntura económica y que son las que más necesitan medidas de choque como el fácil acceso al crédito, la reducción en los costos de materia prima y transporte, la racionalización de los gastos y alivios en otros gastos como servicios públicos y trámites.</w:t>
      </w:r>
    </w:p>
    <w:p w14:paraId="77F9B278" w14:textId="77777777" w:rsidR="00E63642" w:rsidRDefault="00BC177F">
      <w:pPr>
        <w:numPr>
          <w:ilvl w:val="2"/>
          <w:numId w:val="2"/>
        </w:numPr>
        <w:spacing w:after="160" w:line="276" w:lineRule="auto"/>
        <w:ind w:left="566" w:hanging="566"/>
        <w:jc w:val="both"/>
        <w:rPr>
          <w:rFonts w:ascii="Times New Roman" w:eastAsia="Times New Roman" w:hAnsi="Times New Roman" w:cs="Times New Roman"/>
          <w:b/>
          <w:bCs/>
        </w:rPr>
      </w:pPr>
      <w:r>
        <w:rPr>
          <w:rFonts w:ascii="Times New Roman" w:eastAsia="Times New Roman" w:hAnsi="Times New Roman" w:cs="Times New Roman"/>
          <w:b/>
          <w:bCs/>
        </w:rPr>
        <w:t>Sector y desarrollo económico alrededor de la protección animal</w:t>
      </w:r>
    </w:p>
    <w:p w14:paraId="4140A173" w14:textId="74FF509E" w:rsidR="00E63642" w:rsidRDefault="00BC177F">
      <w:pPr>
        <w:pBdr>
          <w:top w:val="nil"/>
          <w:left w:val="nil"/>
          <w:bottom w:val="nil"/>
          <w:right w:val="nil"/>
          <w:between w:val="nil"/>
        </w:pBdr>
        <w:spacing w:after="160" w:line="276" w:lineRule="auto"/>
        <w:jc w:val="both"/>
        <w:rPr>
          <w:rFonts w:ascii="Times New Roman" w:eastAsia="Times New Roman" w:hAnsi="Times New Roman" w:cs="Times New Roman"/>
        </w:rPr>
      </w:pPr>
      <w:r>
        <w:rPr>
          <w:rFonts w:ascii="Times New Roman" w:eastAsia="Times New Roman" w:hAnsi="Times New Roman" w:cs="Times New Roman"/>
        </w:rPr>
        <w:t>A nivel global, los animales de compañía han adquirido una relevancia considerable en los hogares, impulsada por una creciente conciencia mundial que promueve una visión de respeto y afecto hacia estos seres, especialmente en el caso de l</w:t>
      </w:r>
      <w:r w:rsidR="005D5F94">
        <w:rPr>
          <w:rFonts w:ascii="Times New Roman" w:eastAsia="Times New Roman" w:hAnsi="Times New Roman" w:cs="Times New Roman"/>
        </w:rPr>
        <w:t>o</w:t>
      </w:r>
      <w:r>
        <w:rPr>
          <w:rFonts w:ascii="Times New Roman" w:eastAsia="Times New Roman" w:hAnsi="Times New Roman" w:cs="Times New Roman"/>
        </w:rPr>
        <w:t xml:space="preserve">s </w:t>
      </w:r>
      <w:r w:rsidR="005D5F94" w:rsidRPr="005D5F94">
        <w:rPr>
          <w:rFonts w:ascii="Times New Roman" w:eastAsia="Times New Roman" w:hAnsi="Times New Roman" w:cs="Times New Roman"/>
        </w:rPr>
        <w:t>animales de compañía</w:t>
      </w:r>
      <w:r>
        <w:rPr>
          <w:rFonts w:ascii="Times New Roman" w:eastAsia="Times New Roman" w:hAnsi="Times New Roman" w:cs="Times New Roman"/>
        </w:rPr>
        <w:t>. Esta tendencia ha dado lugar a una cultura de consumo de productos para el cuidado animal, fundamentada en el fuerte vínculo afectivo entre los dueños y sus animales (Borda, 2019)</w:t>
      </w:r>
      <w:r>
        <w:rPr>
          <w:rFonts w:ascii="Times New Roman" w:eastAsia="Times New Roman" w:hAnsi="Times New Roman" w:cs="Times New Roman"/>
          <w:vertAlign w:val="superscript"/>
        </w:rPr>
        <w:footnoteReference w:id="10"/>
      </w:r>
      <w:r>
        <w:rPr>
          <w:rFonts w:ascii="Times New Roman" w:eastAsia="Times New Roman" w:hAnsi="Times New Roman" w:cs="Times New Roman"/>
        </w:rPr>
        <w:t xml:space="preserve">. </w:t>
      </w:r>
    </w:p>
    <w:p w14:paraId="677E9C5B" w14:textId="44551E76" w:rsidR="00E63642" w:rsidRDefault="00BC177F">
      <w:pPr>
        <w:pBdr>
          <w:top w:val="nil"/>
          <w:left w:val="nil"/>
          <w:bottom w:val="nil"/>
          <w:right w:val="nil"/>
          <w:between w:val="nil"/>
        </w:pBdr>
        <w:spacing w:after="160" w:line="276" w:lineRule="auto"/>
        <w:jc w:val="both"/>
        <w:rPr>
          <w:rFonts w:ascii="Times New Roman" w:eastAsia="Times New Roman" w:hAnsi="Times New Roman" w:cs="Times New Roman"/>
        </w:rPr>
      </w:pPr>
      <w:r>
        <w:rPr>
          <w:rFonts w:ascii="Times New Roman" w:eastAsia="Times New Roman" w:hAnsi="Times New Roman" w:cs="Times New Roman"/>
        </w:rPr>
        <w:t>Por ejemplo, el estudio de Cepeda y Díaz (2018)</w:t>
      </w:r>
      <w:r>
        <w:rPr>
          <w:rFonts w:ascii="Times New Roman" w:eastAsia="Times New Roman" w:hAnsi="Times New Roman" w:cs="Times New Roman"/>
          <w:vertAlign w:val="superscript"/>
        </w:rPr>
        <w:footnoteReference w:id="11"/>
      </w:r>
      <w:r>
        <w:rPr>
          <w:rFonts w:ascii="Times New Roman" w:eastAsia="Times New Roman" w:hAnsi="Times New Roman" w:cs="Times New Roman"/>
        </w:rPr>
        <w:t xml:space="preserve">, revela que, en Bogotá, los motivadores de la demanda de productos y servicios para </w:t>
      </w:r>
      <w:r w:rsidR="005D5F94" w:rsidRPr="005D5F94">
        <w:rPr>
          <w:rFonts w:ascii="Times New Roman" w:eastAsia="Times New Roman" w:hAnsi="Times New Roman" w:cs="Times New Roman"/>
        </w:rPr>
        <w:t>animales de compañía</w:t>
      </w:r>
      <w:r>
        <w:rPr>
          <w:rFonts w:ascii="Times New Roman" w:eastAsia="Times New Roman" w:hAnsi="Times New Roman" w:cs="Times New Roman"/>
        </w:rPr>
        <w:t xml:space="preserve"> radica en la consideración de </w:t>
      </w:r>
      <w:r w:rsidR="005D5F94">
        <w:rPr>
          <w:rFonts w:ascii="Times New Roman" w:eastAsia="Times New Roman" w:hAnsi="Times New Roman" w:cs="Times New Roman"/>
        </w:rPr>
        <w:t xml:space="preserve">estos </w:t>
      </w:r>
      <w:r>
        <w:rPr>
          <w:rFonts w:ascii="Times New Roman" w:eastAsia="Times New Roman" w:hAnsi="Times New Roman" w:cs="Times New Roman"/>
        </w:rPr>
        <w:t xml:space="preserve">como un hijo más que un animal, lo cual implica un patrón de consumo mayor en los compradores. Dentro de los bienes y servicios con mayor demanda en la ciudad se encuentran alimentos, suplementos, comederos, juguetes, transporte, camas, ropas y accesorios, salud, entrenamiento, jaulas, guarderías, entrenadores, funerarias, colegios, paseadores, veterinarias, </w:t>
      </w:r>
      <w:r>
        <w:rPr>
          <w:rFonts w:ascii="Times New Roman" w:eastAsia="Times New Roman" w:hAnsi="Times New Roman" w:cs="Times New Roman"/>
        </w:rPr>
        <w:lastRenderedPageBreak/>
        <w:t>entre otros. Como resultado, la economía relacionada con el cuidado de l</w:t>
      </w:r>
      <w:r w:rsidR="005D5F94">
        <w:rPr>
          <w:rFonts w:ascii="Times New Roman" w:eastAsia="Times New Roman" w:hAnsi="Times New Roman" w:cs="Times New Roman"/>
        </w:rPr>
        <w:t>o</w:t>
      </w:r>
      <w:r>
        <w:rPr>
          <w:rFonts w:ascii="Times New Roman" w:eastAsia="Times New Roman" w:hAnsi="Times New Roman" w:cs="Times New Roman"/>
        </w:rPr>
        <w:t xml:space="preserve">s </w:t>
      </w:r>
      <w:r w:rsidR="005D5F94">
        <w:rPr>
          <w:rFonts w:ascii="Times New Roman" w:eastAsia="Times New Roman" w:hAnsi="Times New Roman" w:cs="Times New Roman"/>
        </w:rPr>
        <w:t>animales de compañía</w:t>
      </w:r>
      <w:r>
        <w:rPr>
          <w:rFonts w:ascii="Times New Roman" w:eastAsia="Times New Roman" w:hAnsi="Times New Roman" w:cs="Times New Roman"/>
        </w:rPr>
        <w:t xml:space="preserve"> ha experimentado un crecimiento sostenido, impulsado tanto por el aumento en el número de </w:t>
      </w:r>
      <w:r w:rsidR="005D5F94">
        <w:rPr>
          <w:rFonts w:ascii="Times New Roman" w:eastAsia="Times New Roman" w:hAnsi="Times New Roman" w:cs="Times New Roman"/>
        </w:rPr>
        <w:t>estos</w:t>
      </w:r>
      <w:r>
        <w:rPr>
          <w:rFonts w:ascii="Times New Roman" w:eastAsia="Times New Roman" w:hAnsi="Times New Roman" w:cs="Times New Roman"/>
        </w:rPr>
        <w:t xml:space="preserve"> como por la nueva concepción que la sociedad tiene sobre ellas.</w:t>
      </w:r>
    </w:p>
    <w:p w14:paraId="7F413841"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En Latinoamérica, según el estudio </w:t>
      </w:r>
      <w:proofErr w:type="spellStart"/>
      <w:r>
        <w:rPr>
          <w:rFonts w:ascii="Times New Roman" w:eastAsia="Times New Roman" w:hAnsi="Times New Roman" w:cs="Times New Roman"/>
        </w:rPr>
        <w:t>Euromonitor</w:t>
      </w:r>
      <w:proofErr w:type="spellEnd"/>
      <w:r>
        <w:rPr>
          <w:rFonts w:ascii="Times New Roman" w:eastAsia="Times New Roman" w:hAnsi="Times New Roman" w:cs="Times New Roman"/>
        </w:rPr>
        <w:t xml:space="preserve"> International </w:t>
      </w:r>
      <w:proofErr w:type="spellStart"/>
      <w:r>
        <w:rPr>
          <w:rFonts w:ascii="Times New Roman" w:eastAsia="Times New Roman" w:hAnsi="Times New Roman" w:cs="Times New Roman"/>
        </w:rPr>
        <w:t>Research</w:t>
      </w:r>
      <w:proofErr w:type="spellEnd"/>
      <w:r>
        <w:rPr>
          <w:rFonts w:ascii="Times New Roman" w:eastAsia="Times New Roman" w:hAnsi="Times New Roman" w:cs="Times New Roman"/>
        </w:rPr>
        <w:t xml:space="preserve"> (2021)</w:t>
      </w:r>
      <w:r>
        <w:rPr>
          <w:rFonts w:ascii="Times New Roman" w:eastAsia="Times New Roman" w:hAnsi="Times New Roman" w:cs="Times New Roman"/>
          <w:vertAlign w:val="superscript"/>
        </w:rPr>
        <w:footnoteReference w:id="12"/>
      </w:r>
      <w:r>
        <w:rPr>
          <w:rFonts w:ascii="Times New Roman" w:eastAsia="Times New Roman" w:hAnsi="Times New Roman" w:cs="Times New Roman"/>
        </w:rPr>
        <w:t xml:space="preserve"> Brasil, México, Chile y Colombia lideraron el sector de bienes y servicios para el bienestar animal al crecer anualmente un 13% en  comparación con  sus países pares de 6%. Lo anterior se traduce en el paso de 1.900 millones de dólares en ventas en 2014 a 7.600 millones en 2021.  El mercado en el país ha crecido de tal manera que se proyectaba que las ventas de comida para animales domésticos superarían las ventas de comida para bebés en 2019 (Portafolio, 2019)</w:t>
      </w:r>
      <w:r>
        <w:rPr>
          <w:rFonts w:ascii="Times New Roman" w:eastAsia="Times New Roman" w:hAnsi="Times New Roman" w:cs="Times New Roman"/>
          <w:vertAlign w:val="superscript"/>
        </w:rPr>
        <w:footnoteReference w:id="13"/>
      </w:r>
      <w:r>
        <w:rPr>
          <w:rFonts w:ascii="Times New Roman" w:eastAsia="Times New Roman" w:hAnsi="Times New Roman" w:cs="Times New Roman"/>
        </w:rPr>
        <w:t xml:space="preserve">. </w:t>
      </w:r>
    </w:p>
    <w:p w14:paraId="041816B8" w14:textId="14E52A1F"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En el contexto nacional, el 70% de la población reporta tener al menos </w:t>
      </w:r>
      <w:r w:rsidR="005D5F94">
        <w:rPr>
          <w:rFonts w:ascii="Times New Roman" w:eastAsia="Times New Roman" w:hAnsi="Times New Roman" w:cs="Times New Roman"/>
        </w:rPr>
        <w:t xml:space="preserve">un </w:t>
      </w:r>
      <w:r w:rsidR="005D5F94" w:rsidRPr="005D5F94">
        <w:rPr>
          <w:rFonts w:ascii="Times New Roman" w:eastAsia="Times New Roman" w:hAnsi="Times New Roman" w:cs="Times New Roman"/>
        </w:rPr>
        <w:t>animal de compañía</w:t>
      </w:r>
      <w:r>
        <w:rPr>
          <w:rFonts w:ascii="Times New Roman" w:eastAsia="Times New Roman" w:hAnsi="Times New Roman" w:cs="Times New Roman"/>
        </w:rPr>
        <w:t>, lo que representa un incremento de cuatro puntos porcentuales en comparación con el año anterior (FORBES, 2024)</w:t>
      </w:r>
      <w:r>
        <w:rPr>
          <w:rFonts w:ascii="Times New Roman" w:eastAsia="Times New Roman" w:hAnsi="Times New Roman" w:cs="Times New Roman"/>
          <w:vertAlign w:val="superscript"/>
        </w:rPr>
        <w:footnoteReference w:id="14"/>
      </w:r>
      <w:r>
        <w:rPr>
          <w:rFonts w:ascii="Times New Roman" w:eastAsia="Times New Roman" w:hAnsi="Times New Roman" w:cs="Times New Roman"/>
        </w:rPr>
        <w:t xml:space="preserve">. Este crecimiento también se refleja en el aumento del 30% en las ventas de alimentos para </w:t>
      </w:r>
      <w:r w:rsidR="005D5F94" w:rsidRPr="005D5F94">
        <w:rPr>
          <w:rFonts w:ascii="Times New Roman" w:eastAsia="Times New Roman" w:hAnsi="Times New Roman" w:cs="Times New Roman"/>
        </w:rPr>
        <w:t>animales de compañía</w:t>
      </w:r>
      <w:r>
        <w:rPr>
          <w:rFonts w:ascii="Times New Roman" w:eastAsia="Times New Roman" w:hAnsi="Times New Roman" w:cs="Times New Roman"/>
        </w:rPr>
        <w:t xml:space="preserve">, así como en el alza de los precios por kilogramo. Además, según el mismo informe, los hogares colombianos sin bebés tienden a gastar hasta un 150% más en productos para sus animales de compañía. En conjunto, desde 2019, los colombianos han invertido aproximadamente 3 billones en sus </w:t>
      </w:r>
      <w:r w:rsidR="005D5F94">
        <w:rPr>
          <w:rFonts w:ascii="Times New Roman" w:eastAsia="Times New Roman" w:hAnsi="Times New Roman" w:cs="Times New Roman"/>
        </w:rPr>
        <w:t>animales de compañía</w:t>
      </w:r>
      <w:r>
        <w:rPr>
          <w:rFonts w:ascii="Times New Roman" w:eastAsia="Times New Roman" w:hAnsi="Times New Roman" w:cs="Times New Roman"/>
        </w:rPr>
        <w:t xml:space="preserve">, incluso, el informe </w:t>
      </w:r>
      <w:proofErr w:type="spellStart"/>
      <w:r>
        <w:rPr>
          <w:rFonts w:ascii="Times New Roman" w:eastAsia="Times New Roman" w:hAnsi="Times New Roman" w:cs="Times New Roman"/>
        </w:rPr>
        <w:t>Euromonitor</w:t>
      </w:r>
      <w:proofErr w:type="spellEnd"/>
      <w:r>
        <w:rPr>
          <w:rFonts w:ascii="Times New Roman" w:eastAsia="Times New Roman" w:hAnsi="Times New Roman" w:cs="Times New Roman"/>
        </w:rPr>
        <w:t xml:space="preserve"> International </w:t>
      </w:r>
      <w:proofErr w:type="spellStart"/>
      <w:r>
        <w:rPr>
          <w:rFonts w:ascii="Times New Roman" w:eastAsia="Times New Roman" w:hAnsi="Times New Roman" w:cs="Times New Roman"/>
        </w:rPr>
        <w:t>Research</w:t>
      </w:r>
      <w:proofErr w:type="spellEnd"/>
      <w:r>
        <w:rPr>
          <w:rFonts w:ascii="Times New Roman" w:eastAsia="Times New Roman" w:hAnsi="Times New Roman" w:cs="Times New Roman"/>
        </w:rPr>
        <w:t xml:space="preserve"> también proyectó que los ingresos por ventas en artículos y servicios para </w:t>
      </w:r>
      <w:r w:rsidR="005D5F94">
        <w:rPr>
          <w:rFonts w:ascii="Times New Roman" w:eastAsia="Times New Roman" w:hAnsi="Times New Roman" w:cs="Times New Roman"/>
        </w:rPr>
        <w:t>animales de compañía</w:t>
      </w:r>
      <w:r>
        <w:rPr>
          <w:rFonts w:ascii="Times New Roman" w:eastAsia="Times New Roman" w:hAnsi="Times New Roman" w:cs="Times New Roman"/>
        </w:rPr>
        <w:t xml:space="preserve"> podría ser de 5.43 billones de pesos (La República, 2023)</w:t>
      </w:r>
      <w:r>
        <w:rPr>
          <w:rFonts w:ascii="Times New Roman" w:eastAsia="Times New Roman" w:hAnsi="Times New Roman" w:cs="Times New Roman"/>
          <w:vertAlign w:val="superscript"/>
        </w:rPr>
        <w:footnoteReference w:id="15"/>
      </w:r>
      <w:r>
        <w:rPr>
          <w:rFonts w:ascii="Times New Roman" w:eastAsia="Times New Roman" w:hAnsi="Times New Roman" w:cs="Times New Roman"/>
        </w:rPr>
        <w:t>.</w:t>
      </w:r>
    </w:p>
    <w:p w14:paraId="2B2C431F" w14:textId="77777777" w:rsidR="00E63642" w:rsidRDefault="00E63642">
      <w:pPr>
        <w:spacing w:after="160" w:line="276" w:lineRule="auto"/>
        <w:jc w:val="both"/>
        <w:rPr>
          <w:rFonts w:ascii="Times New Roman" w:eastAsia="Times New Roman" w:hAnsi="Times New Roman" w:cs="Times New Roman"/>
        </w:rPr>
      </w:pPr>
    </w:p>
    <w:p w14:paraId="5C17D187" w14:textId="77777777" w:rsidR="00E63642" w:rsidRDefault="00E63642">
      <w:pPr>
        <w:spacing w:after="160" w:line="276" w:lineRule="auto"/>
        <w:jc w:val="both"/>
        <w:rPr>
          <w:rFonts w:ascii="Times New Roman" w:eastAsia="Times New Roman" w:hAnsi="Times New Roman" w:cs="Times New Roman"/>
        </w:rPr>
      </w:pPr>
    </w:p>
    <w:p w14:paraId="18CE1D02" w14:textId="77777777" w:rsidR="00E63642" w:rsidRDefault="00BC177F">
      <w:pPr>
        <w:numPr>
          <w:ilvl w:val="2"/>
          <w:numId w:val="2"/>
        </w:numPr>
        <w:pBdr>
          <w:top w:val="nil"/>
          <w:left w:val="nil"/>
          <w:bottom w:val="nil"/>
          <w:right w:val="nil"/>
          <w:between w:val="nil"/>
        </w:pBdr>
        <w:spacing w:after="160" w:line="276" w:lineRule="auto"/>
        <w:ind w:left="566" w:hanging="566"/>
        <w:jc w:val="both"/>
        <w:rPr>
          <w:rFonts w:ascii="Times New Roman" w:eastAsia="Times New Roman" w:hAnsi="Times New Roman" w:cs="Times New Roman"/>
          <w:b/>
          <w:bCs/>
        </w:rPr>
      </w:pPr>
      <w:r>
        <w:rPr>
          <w:rFonts w:ascii="Times New Roman" w:eastAsia="Times New Roman" w:hAnsi="Times New Roman" w:cs="Times New Roman"/>
          <w:b/>
          <w:bCs/>
        </w:rPr>
        <w:t xml:space="preserve">La economía animalista en Colombia y Bogotá </w:t>
      </w:r>
    </w:p>
    <w:p w14:paraId="363B9DF5" w14:textId="469ADB3C" w:rsidR="00E63642" w:rsidRDefault="00BC177F">
      <w:pPr>
        <w:pBdr>
          <w:top w:val="nil"/>
          <w:left w:val="nil"/>
          <w:bottom w:val="nil"/>
          <w:right w:val="nil"/>
          <w:between w:val="nil"/>
        </w:pBd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En muchos lugares del país se ha vuelto tendencia optar por tener en sus hogares </w:t>
      </w:r>
      <w:proofErr w:type="gramStart"/>
      <w:r>
        <w:rPr>
          <w:rFonts w:ascii="Times New Roman" w:eastAsia="Times New Roman" w:hAnsi="Times New Roman" w:cs="Times New Roman"/>
        </w:rPr>
        <w:t>una</w:t>
      </w:r>
      <w:r w:rsidR="005D5F94" w:rsidRPr="005D5F94">
        <w:rPr>
          <w:rFonts w:ascii="Times New Roman" w:eastAsia="Times New Roman" w:hAnsi="Times New Roman" w:cs="Times New Roman"/>
        </w:rPr>
        <w:t xml:space="preserve"> </w:t>
      </w:r>
      <w:r w:rsidR="005D5F94">
        <w:rPr>
          <w:rFonts w:ascii="Times New Roman" w:eastAsia="Times New Roman" w:hAnsi="Times New Roman" w:cs="Times New Roman"/>
        </w:rPr>
        <w:t>animal</w:t>
      </w:r>
      <w:proofErr w:type="gramEnd"/>
      <w:r w:rsidR="005D5F94">
        <w:rPr>
          <w:rFonts w:ascii="Times New Roman" w:eastAsia="Times New Roman" w:hAnsi="Times New Roman" w:cs="Times New Roman"/>
        </w:rPr>
        <w:t xml:space="preserve"> de compañía </w:t>
      </w:r>
      <w:r>
        <w:rPr>
          <w:rFonts w:ascii="Times New Roman" w:eastAsia="Times New Roman" w:hAnsi="Times New Roman" w:cs="Times New Roman"/>
        </w:rPr>
        <w:t>como un miembro importante de la familia, lo cual ha permitido que muchos negocios giren en torno a bienes y servicios para dicho público.</w:t>
      </w:r>
    </w:p>
    <w:p w14:paraId="28279DBE" w14:textId="55ED67C9"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En Latinoamérica se pueden encontrar diversas </w:t>
      </w:r>
      <w:proofErr w:type="spellStart"/>
      <w:r>
        <w:rPr>
          <w:rFonts w:ascii="Times New Roman" w:eastAsia="Times New Roman" w:hAnsi="Times New Roman" w:cs="Times New Roman"/>
        </w:rPr>
        <w:t>startups</w:t>
      </w:r>
      <w:proofErr w:type="spellEnd"/>
      <w:r>
        <w:rPr>
          <w:rFonts w:ascii="Times New Roman" w:eastAsia="Times New Roman" w:hAnsi="Times New Roman" w:cs="Times New Roman"/>
        </w:rPr>
        <w:t xml:space="preserve">, como </w:t>
      </w:r>
      <w:proofErr w:type="spellStart"/>
      <w:r>
        <w:rPr>
          <w:rFonts w:ascii="Times New Roman" w:eastAsia="Times New Roman" w:hAnsi="Times New Roman" w:cs="Times New Roman"/>
        </w:rPr>
        <w:t>TobiPets</w:t>
      </w:r>
      <w:proofErr w:type="spellEnd"/>
      <w:r>
        <w:rPr>
          <w:rFonts w:ascii="Times New Roman" w:eastAsia="Times New Roman" w:hAnsi="Times New Roman" w:cs="Times New Roman"/>
        </w:rPr>
        <w:t xml:space="preserve"> en Costa Rica la cual se posiciona como la principal tienda online del país y fue reconocida por FORBES dentro de las 30 promesas de negocios para 2024. </w:t>
      </w:r>
      <w:proofErr w:type="spellStart"/>
      <w:r>
        <w:rPr>
          <w:rFonts w:ascii="Times New Roman" w:eastAsia="Times New Roman" w:hAnsi="Times New Roman" w:cs="Times New Roman"/>
        </w:rPr>
        <w:t>CuidaMiMascota</w:t>
      </w:r>
      <w:proofErr w:type="spellEnd"/>
      <w:r>
        <w:rPr>
          <w:rFonts w:ascii="Times New Roman" w:eastAsia="Times New Roman" w:hAnsi="Times New Roman" w:cs="Times New Roman"/>
        </w:rPr>
        <w:t xml:space="preserve"> en México, conecta cuidadores, servicios de guardería y paseadores de confianza con dueños de </w:t>
      </w:r>
      <w:r w:rsidR="005D5F94">
        <w:rPr>
          <w:rFonts w:ascii="Times New Roman" w:eastAsia="Times New Roman" w:hAnsi="Times New Roman" w:cs="Times New Roman"/>
        </w:rPr>
        <w:t>animales de compañía</w:t>
      </w:r>
      <w:r>
        <w:rPr>
          <w:rFonts w:ascii="Times New Roman" w:eastAsia="Times New Roman" w:hAnsi="Times New Roman" w:cs="Times New Roman"/>
        </w:rPr>
        <w:t xml:space="preserve"> para ofrecer servicios seguros, a precios de fácil acceso; actualmente la empresa cuenta con 5.000 cuidadores y más de 250.000 usuarios (Pulso Capital, 2024)</w:t>
      </w:r>
      <w:r>
        <w:rPr>
          <w:rFonts w:ascii="Times New Roman" w:eastAsia="Times New Roman" w:hAnsi="Times New Roman" w:cs="Times New Roman"/>
          <w:vertAlign w:val="superscript"/>
        </w:rPr>
        <w:footnoteReference w:id="16"/>
      </w:r>
      <w:r>
        <w:rPr>
          <w:rFonts w:ascii="Times New Roman" w:eastAsia="Times New Roman" w:hAnsi="Times New Roman" w:cs="Times New Roman"/>
        </w:rPr>
        <w:t xml:space="preserve">. A su vez, han comenzado a surgir empresas que se especializan en la comercialización de seguros para la salud de perros y gatos a través de aplicaciones móviles. Ejemplos destacados son </w:t>
      </w:r>
      <w:proofErr w:type="spellStart"/>
      <w:r>
        <w:rPr>
          <w:rFonts w:ascii="Times New Roman" w:eastAsia="Times New Roman" w:hAnsi="Times New Roman" w:cs="Times New Roman"/>
        </w:rPr>
        <w:t>Barkniu</w:t>
      </w:r>
      <w:proofErr w:type="spellEnd"/>
      <w:r>
        <w:rPr>
          <w:rFonts w:ascii="Times New Roman" w:eastAsia="Times New Roman" w:hAnsi="Times New Roman" w:cs="Times New Roman"/>
        </w:rPr>
        <w:t xml:space="preserve">, de España, y </w:t>
      </w:r>
      <w:proofErr w:type="spellStart"/>
      <w:r>
        <w:rPr>
          <w:rFonts w:ascii="Times New Roman" w:eastAsia="Times New Roman" w:hAnsi="Times New Roman" w:cs="Times New Roman"/>
        </w:rPr>
        <w:t>Many</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Pets</w:t>
      </w:r>
      <w:proofErr w:type="spellEnd"/>
      <w:r>
        <w:rPr>
          <w:rFonts w:ascii="Times New Roman" w:eastAsia="Times New Roman" w:hAnsi="Times New Roman" w:cs="Times New Roman"/>
        </w:rPr>
        <w:t>, del Reino Unido.</w:t>
      </w:r>
    </w:p>
    <w:p w14:paraId="12DB3E6B" w14:textId="71F36A9B" w:rsidR="00E63642" w:rsidRDefault="00BC177F">
      <w:pPr>
        <w:spacing w:after="160" w:line="276" w:lineRule="auto"/>
        <w:jc w:val="both"/>
        <w:rPr>
          <w:rFonts w:ascii="Times New Roman" w:eastAsia="Times New Roman" w:hAnsi="Times New Roman" w:cs="Times New Roman"/>
        </w:rPr>
      </w:pPr>
      <w:proofErr w:type="spellStart"/>
      <w:r>
        <w:rPr>
          <w:rFonts w:ascii="Times New Roman" w:eastAsia="Times New Roman" w:hAnsi="Times New Roman" w:cs="Times New Roman"/>
        </w:rPr>
        <w:t>Barkniu</w:t>
      </w:r>
      <w:proofErr w:type="spellEnd"/>
      <w:r>
        <w:rPr>
          <w:rFonts w:ascii="Times New Roman" w:eastAsia="Times New Roman" w:hAnsi="Times New Roman" w:cs="Times New Roman"/>
        </w:rPr>
        <w:t xml:space="preserve"> ofrece a los usuarios la posibilidad de asegurar a sus </w:t>
      </w:r>
      <w:r w:rsidR="005D5F94">
        <w:rPr>
          <w:rFonts w:ascii="Times New Roman" w:eastAsia="Times New Roman" w:hAnsi="Times New Roman" w:cs="Times New Roman"/>
        </w:rPr>
        <w:t>animales de compañía</w:t>
      </w:r>
      <w:r>
        <w:rPr>
          <w:rFonts w:ascii="Times New Roman" w:eastAsia="Times New Roman" w:hAnsi="Times New Roman" w:cs="Times New Roman"/>
        </w:rPr>
        <w:t xml:space="preserve"> y realizar consultas virtuales, así como contactar a un asistente veterinario mediante inteligencia artificial. Esta empresa ha completado una ronda de financiación de 4.5 millones de euros. Por su parte, </w:t>
      </w:r>
      <w:proofErr w:type="spellStart"/>
      <w:r>
        <w:rPr>
          <w:rFonts w:ascii="Times New Roman" w:eastAsia="Times New Roman" w:hAnsi="Times New Roman" w:cs="Times New Roman"/>
        </w:rPr>
        <w:t>Many</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Pets</w:t>
      </w:r>
      <w:proofErr w:type="spellEnd"/>
      <w:r>
        <w:rPr>
          <w:rFonts w:ascii="Times New Roman" w:eastAsia="Times New Roman" w:hAnsi="Times New Roman" w:cs="Times New Roman"/>
        </w:rPr>
        <w:t xml:space="preserve"> proporciona un servicio de cobertura por accidentes y enfermedades para los animales, además de ofrecer un plan de bienestar que incluye vacunas y cuidado oral. Esta compañía ha logrado consolidarse como un unicornio, con una valoración superior a 1.000 millones de dólares antes de su salida a bolsa. (BBVA, 2023)</w:t>
      </w:r>
      <w:r>
        <w:rPr>
          <w:rFonts w:ascii="Times New Roman" w:eastAsia="Times New Roman" w:hAnsi="Times New Roman" w:cs="Times New Roman"/>
          <w:vertAlign w:val="superscript"/>
        </w:rPr>
        <w:footnoteReference w:id="17"/>
      </w:r>
    </w:p>
    <w:p w14:paraId="7FF651C7" w14:textId="7BB10E51"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Bogotá siendo la capital, no se queda atrás, de acuerdo con la Encuesta Multipropósito 2021, 4 de cada 10 hogares tiene al menos un</w:t>
      </w:r>
      <w:r w:rsidR="005D5F94">
        <w:rPr>
          <w:rFonts w:ascii="Times New Roman" w:eastAsia="Times New Roman" w:hAnsi="Times New Roman" w:cs="Times New Roman"/>
        </w:rPr>
        <w:t xml:space="preserve"> animal de compañía</w:t>
      </w:r>
      <w:r>
        <w:rPr>
          <w:rFonts w:ascii="Times New Roman" w:eastAsia="Times New Roman" w:hAnsi="Times New Roman" w:cs="Times New Roman"/>
        </w:rPr>
        <w:t xml:space="preserve">, de estos el 65% tiene perro y el </w:t>
      </w:r>
      <w:r>
        <w:rPr>
          <w:rFonts w:ascii="Times New Roman" w:eastAsia="Times New Roman" w:hAnsi="Times New Roman" w:cs="Times New Roman"/>
        </w:rPr>
        <w:lastRenderedPageBreak/>
        <w:t>44% tiene gato (El Espectador, 2024)</w:t>
      </w:r>
      <w:r>
        <w:rPr>
          <w:rFonts w:ascii="Times New Roman" w:eastAsia="Times New Roman" w:hAnsi="Times New Roman" w:cs="Times New Roman"/>
          <w:vertAlign w:val="superscript"/>
        </w:rPr>
        <w:footnoteReference w:id="18"/>
      </w:r>
      <w:r>
        <w:rPr>
          <w:rFonts w:ascii="Times New Roman" w:eastAsia="Times New Roman" w:hAnsi="Times New Roman" w:cs="Times New Roman"/>
        </w:rPr>
        <w:t xml:space="preserve">. Y, actualmente, según la Cámara de Comercio de Bogotá -CBB-, se identifica la siguiente distribución de actividades comerciales relacionadas con la protección y el bienestar animal: 7,500 establecimientos están dedicados a actividades veterinarias; 4,620 se enfocan en el comercio al por mayor de materias primas agropecuarias; 4,720 son establecimientos de venta al por menor de artículos domésticos; 4,729 corresponden a comercios dedicados a la venta de productos alimenticios; 4,773 se especializan en productos farmacéuticos y cosméticos para animales; 4,774 son negocios de productos especializados para animales, y 9,602 se dedican a la peluquería y tratamientos de belleza. De esta manera, de los 58.000 registros de negocios, 9.500 se enfocan en animales de compañía (CCB, 2024). </w:t>
      </w:r>
      <w:r>
        <w:rPr>
          <w:rFonts w:ascii="Times New Roman" w:eastAsia="Times New Roman" w:hAnsi="Times New Roman" w:cs="Times New Roman"/>
          <w:vertAlign w:val="superscript"/>
        </w:rPr>
        <w:footnoteReference w:id="19"/>
      </w:r>
      <w:r>
        <w:rPr>
          <w:rFonts w:ascii="Times New Roman" w:eastAsia="Times New Roman" w:hAnsi="Times New Roman" w:cs="Times New Roman"/>
        </w:rPr>
        <w:t xml:space="preserve"> Dichos establecimientos se agrupan principalmente en el centro de la ciudad y en los alrededores de la avenida Caracas hacia el norte, específicamente en la localidad de Chapinero (Figura 3). </w:t>
      </w:r>
    </w:p>
    <w:p w14:paraId="27AC475D" w14:textId="77777777" w:rsidR="00E63642" w:rsidRDefault="00BC177F">
      <w:pPr>
        <w:spacing w:after="160" w:line="276" w:lineRule="auto"/>
        <w:jc w:val="center"/>
        <w:rPr>
          <w:rFonts w:ascii="Times New Roman" w:eastAsia="Times New Roman" w:hAnsi="Times New Roman" w:cs="Times New Roman"/>
        </w:rPr>
      </w:pPr>
      <w:r>
        <w:rPr>
          <w:rFonts w:ascii="Times New Roman" w:eastAsia="Times New Roman" w:hAnsi="Times New Roman" w:cs="Times New Roman"/>
          <w:noProof/>
          <w:lang w:val="es-CO"/>
        </w:rPr>
        <w:drawing>
          <wp:inline distT="0" distB="0" distL="114300" distR="114300" wp14:anchorId="57401E67" wp14:editId="1DA284D4">
            <wp:extent cx="3507474" cy="2415654"/>
            <wp:effectExtent l="0" t="0" r="0" b="3810"/>
            <wp:docPr id="1798862552" name="image11.png" descr="Diagrama, 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1.png" descr="Diagrama, Mapa&#10;&#10;Descripción generada automáticamente"/>
                    <pic:cNvPicPr preferRelativeResize="0"/>
                  </pic:nvPicPr>
                  <pic:blipFill>
                    <a:blip r:embed="rId11"/>
                    <a:srcRect l="4582" t="4386" r="3258" b="4696"/>
                    <a:stretch>
                      <a:fillRect/>
                    </a:stretch>
                  </pic:blipFill>
                  <pic:spPr>
                    <a:xfrm>
                      <a:off x="0" y="0"/>
                      <a:ext cx="3516189" cy="2421656"/>
                    </a:xfrm>
                    <a:prstGeom prst="rect">
                      <a:avLst/>
                    </a:prstGeom>
                    <a:ln/>
                  </pic:spPr>
                </pic:pic>
              </a:graphicData>
            </a:graphic>
          </wp:inline>
        </w:drawing>
      </w:r>
    </w:p>
    <w:p w14:paraId="173A8F3B" w14:textId="77777777" w:rsidR="00E63642" w:rsidRDefault="00BC177F">
      <w:pPr>
        <w:pBdr>
          <w:top w:val="nil"/>
          <w:left w:val="nil"/>
          <w:bottom w:val="nil"/>
          <w:right w:val="nil"/>
          <w:between w:val="nil"/>
        </w:pBdr>
        <w:spacing w:line="276" w:lineRule="auto"/>
        <w:jc w:val="center"/>
        <w:rPr>
          <w:rFonts w:ascii="Times New Roman" w:eastAsia="Times New Roman" w:hAnsi="Times New Roman" w:cs="Times New Roman"/>
          <w:i/>
          <w:iCs/>
          <w:color w:val="0E2841"/>
          <w:sz w:val="18"/>
          <w:szCs w:val="18"/>
        </w:rPr>
      </w:pPr>
      <w:r>
        <w:rPr>
          <w:rFonts w:ascii="Times New Roman" w:eastAsia="Times New Roman" w:hAnsi="Times New Roman" w:cs="Times New Roman"/>
          <w:i/>
          <w:iCs/>
          <w:color w:val="0E2841"/>
          <w:sz w:val="18"/>
          <w:szCs w:val="18"/>
        </w:rPr>
        <w:t xml:space="preserve">Figura 3. Concentración de comercios dedicados al negocio de mascotas por localidades en 2019. </w:t>
      </w:r>
    </w:p>
    <w:p w14:paraId="3C95991C" w14:textId="77777777" w:rsidR="00E63642" w:rsidRDefault="00BC177F">
      <w:pPr>
        <w:pBdr>
          <w:top w:val="nil"/>
          <w:left w:val="nil"/>
          <w:bottom w:val="nil"/>
          <w:right w:val="nil"/>
          <w:between w:val="nil"/>
        </w:pBdr>
        <w:spacing w:line="276" w:lineRule="auto"/>
        <w:jc w:val="center"/>
        <w:rPr>
          <w:rFonts w:ascii="Times New Roman" w:eastAsia="Times New Roman" w:hAnsi="Times New Roman" w:cs="Times New Roman"/>
        </w:rPr>
      </w:pPr>
      <w:r>
        <w:rPr>
          <w:rFonts w:ascii="Times New Roman" w:eastAsia="Times New Roman" w:hAnsi="Times New Roman" w:cs="Times New Roman"/>
          <w:i/>
          <w:iCs/>
          <w:color w:val="0E2841"/>
          <w:sz w:val="18"/>
          <w:szCs w:val="18"/>
        </w:rPr>
        <w:lastRenderedPageBreak/>
        <w:t>Fuente: Cámara de Comercio de Bogotá. Elaboración ODEB</w:t>
      </w:r>
      <w:r>
        <w:rPr>
          <w:rFonts w:ascii="Times New Roman" w:eastAsia="Times New Roman" w:hAnsi="Times New Roman" w:cs="Times New Roman"/>
          <w:i/>
          <w:iCs/>
          <w:color w:val="0E2841"/>
          <w:sz w:val="18"/>
          <w:szCs w:val="18"/>
          <w:vertAlign w:val="superscript"/>
        </w:rPr>
        <w:footnoteReference w:id="20"/>
      </w:r>
    </w:p>
    <w:p w14:paraId="521F965F" w14:textId="77777777" w:rsidR="00E63642" w:rsidRDefault="00BC177F">
      <w:pPr>
        <w:spacing w:after="160" w:line="276" w:lineRule="auto"/>
        <w:jc w:val="both"/>
        <w:rPr>
          <w:rFonts w:ascii="Times New Roman" w:eastAsia="Times New Roman" w:hAnsi="Times New Roman" w:cs="Times New Roman"/>
          <w:highlight w:val="cyan"/>
        </w:rPr>
      </w:pPr>
      <w:r>
        <w:rPr>
          <w:rFonts w:ascii="Times New Roman" w:eastAsia="Times New Roman" w:hAnsi="Times New Roman" w:cs="Times New Roman"/>
        </w:rPr>
        <w:t>Datos del Censo Poblacional realizado en el año 2005 revelaron que el promedio de personas por hogar era de 3,9 individuos, para el 2018 año de realización del último censo oficial en el país, el promedio de personas por hogar fue de 3,1 (cifra preliminar). Por otra parte, en Bogotá según datos de la Encuesta Multipropósito 2017 del DANE, los hogares se redujeron entre 2014 y 2017 de 3,16 a 2,98 personas;</w:t>
      </w:r>
    </w:p>
    <w:p w14:paraId="20D89421"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noProof/>
          <w:lang w:val="es-CO"/>
        </w:rPr>
        <w:drawing>
          <wp:inline distT="114300" distB="114300" distL="114300" distR="114300" wp14:anchorId="6414E197" wp14:editId="101F4CAD">
            <wp:extent cx="5505450" cy="2367343"/>
            <wp:effectExtent l="0" t="0" r="0" b="0"/>
            <wp:docPr id="179886255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t="16422" b="7208"/>
                    <a:stretch>
                      <a:fillRect/>
                    </a:stretch>
                  </pic:blipFill>
                  <pic:spPr>
                    <a:xfrm>
                      <a:off x="0" y="0"/>
                      <a:ext cx="5505450" cy="2367343"/>
                    </a:xfrm>
                    <a:prstGeom prst="rect">
                      <a:avLst/>
                    </a:prstGeom>
                    <a:ln/>
                  </pic:spPr>
                </pic:pic>
              </a:graphicData>
            </a:graphic>
          </wp:inline>
        </w:drawing>
      </w:r>
    </w:p>
    <w:p w14:paraId="2FB772C2" w14:textId="77777777" w:rsidR="00E63642" w:rsidRDefault="00BC177F">
      <w:pPr>
        <w:spacing w:line="276" w:lineRule="auto"/>
        <w:jc w:val="center"/>
        <w:rPr>
          <w:rFonts w:ascii="Times New Roman" w:eastAsia="Times New Roman" w:hAnsi="Times New Roman" w:cs="Times New Roman"/>
          <w:i/>
          <w:iCs/>
          <w:color w:val="0E2841"/>
          <w:sz w:val="18"/>
          <w:szCs w:val="18"/>
        </w:rPr>
      </w:pPr>
      <w:r>
        <w:rPr>
          <w:rFonts w:ascii="Times New Roman" w:eastAsia="Times New Roman" w:hAnsi="Times New Roman" w:cs="Times New Roman"/>
          <w:i/>
          <w:iCs/>
          <w:color w:val="0E2841"/>
          <w:sz w:val="18"/>
          <w:szCs w:val="18"/>
        </w:rPr>
        <w:t xml:space="preserve">Figura 4. Evolución del número de personas por familia, censo 2005 - 2018. </w:t>
      </w:r>
    </w:p>
    <w:p w14:paraId="2BBA3BDE" w14:textId="77777777" w:rsidR="00E63642" w:rsidRDefault="00BC177F">
      <w:pPr>
        <w:spacing w:line="276" w:lineRule="auto"/>
        <w:jc w:val="center"/>
        <w:rPr>
          <w:rFonts w:ascii="Times New Roman" w:eastAsia="Times New Roman" w:hAnsi="Times New Roman" w:cs="Times New Roman"/>
          <w:i/>
          <w:iCs/>
          <w:color w:val="0E2841"/>
          <w:sz w:val="18"/>
          <w:szCs w:val="18"/>
        </w:rPr>
      </w:pPr>
      <w:r>
        <w:rPr>
          <w:rFonts w:ascii="Times New Roman" w:eastAsia="Times New Roman" w:hAnsi="Times New Roman" w:cs="Times New Roman"/>
          <w:i/>
          <w:iCs/>
          <w:color w:val="0E2841"/>
          <w:sz w:val="18"/>
          <w:szCs w:val="18"/>
        </w:rPr>
        <w:t>Fuente: DANE. Censo poblacional 2005 -2018.</w:t>
      </w:r>
    </w:p>
    <w:p w14:paraId="229780C0" w14:textId="77777777" w:rsidR="00E63642" w:rsidRDefault="00E63642">
      <w:pPr>
        <w:spacing w:line="276" w:lineRule="auto"/>
        <w:jc w:val="center"/>
        <w:rPr>
          <w:rFonts w:ascii="Times New Roman" w:eastAsia="Times New Roman" w:hAnsi="Times New Roman" w:cs="Times New Roman"/>
          <w:i/>
          <w:iCs/>
          <w:color w:val="0E2841"/>
          <w:sz w:val="18"/>
          <w:szCs w:val="18"/>
        </w:rPr>
      </w:pPr>
    </w:p>
    <w:p w14:paraId="29331C12" w14:textId="13FDE63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Se estimaba que para 2019 existían alrededor de cinco millones de </w:t>
      </w:r>
      <w:r w:rsidR="005D5F94">
        <w:rPr>
          <w:rFonts w:ascii="Times New Roman" w:eastAsia="Times New Roman" w:hAnsi="Times New Roman" w:cs="Times New Roman"/>
        </w:rPr>
        <w:t>animales de compañía</w:t>
      </w:r>
      <w:r>
        <w:rPr>
          <w:rFonts w:ascii="Times New Roman" w:eastAsia="Times New Roman" w:hAnsi="Times New Roman" w:cs="Times New Roman"/>
        </w:rPr>
        <w:t xml:space="preserve"> en el país, aunque otras estimaciones sitúan el número de </w:t>
      </w:r>
      <w:r w:rsidR="005D5F94">
        <w:rPr>
          <w:rFonts w:ascii="Times New Roman" w:eastAsia="Times New Roman" w:hAnsi="Times New Roman" w:cs="Times New Roman"/>
        </w:rPr>
        <w:t xml:space="preserve">animales de compañía </w:t>
      </w:r>
      <w:r>
        <w:rPr>
          <w:rFonts w:ascii="Times New Roman" w:eastAsia="Times New Roman" w:hAnsi="Times New Roman" w:cs="Times New Roman"/>
        </w:rPr>
        <w:t>alrededor de los tres millones y medio de animales</w:t>
      </w:r>
      <w:r>
        <w:rPr>
          <w:rFonts w:ascii="Times New Roman" w:eastAsia="Times New Roman" w:hAnsi="Times New Roman" w:cs="Times New Roman"/>
          <w:vertAlign w:val="superscript"/>
        </w:rPr>
        <w:footnoteReference w:id="21"/>
      </w:r>
      <w:r>
        <w:rPr>
          <w:rFonts w:ascii="Times New Roman" w:eastAsia="Times New Roman" w:hAnsi="Times New Roman" w:cs="Times New Roman"/>
        </w:rPr>
        <w:t xml:space="preserve">. Un dato que puede ayudar a determinar una cifra más precisa, lo proporciona el reporte del Ministerio de Salud de vacunación antirrábica de perros </w:t>
      </w:r>
      <w:r>
        <w:rPr>
          <w:rFonts w:ascii="Times New Roman" w:eastAsia="Times New Roman" w:hAnsi="Times New Roman" w:cs="Times New Roman"/>
        </w:rPr>
        <w:lastRenderedPageBreak/>
        <w:t>y gatos en Colombia para el año 2017, el cual registró la vacunación de 6.844.687 perros y gatos.</w:t>
      </w:r>
    </w:p>
    <w:p w14:paraId="28C89B9B" w14:textId="4FA24972"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En este sentido, el aumento del número de hogares con </w:t>
      </w:r>
      <w:r w:rsidR="005D5F94">
        <w:rPr>
          <w:rFonts w:ascii="Times New Roman" w:eastAsia="Times New Roman" w:hAnsi="Times New Roman" w:cs="Times New Roman"/>
        </w:rPr>
        <w:t xml:space="preserve">animales de compañía </w:t>
      </w:r>
      <w:r>
        <w:rPr>
          <w:rFonts w:ascii="Times New Roman" w:eastAsia="Times New Roman" w:hAnsi="Times New Roman" w:cs="Times New Roman"/>
        </w:rPr>
        <w:t>y el crecimiento en la demanda en productos y servicios para los animales refleja tanto la dinamización del mercado, como retos y desafíos para el mismo.</w:t>
      </w:r>
    </w:p>
    <w:p w14:paraId="33066493" w14:textId="2E8E1C38"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Nuevos mercados como establecimientos de comercio, centros comerciales, almacenes e incluso algunos restaurantes, que optaron por el servicio de “</w:t>
      </w:r>
      <w:proofErr w:type="spellStart"/>
      <w:r>
        <w:rPr>
          <w:rFonts w:ascii="Times New Roman" w:eastAsia="Times New Roman" w:hAnsi="Times New Roman" w:cs="Times New Roman"/>
        </w:rPr>
        <w:t>Pet</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Friendly</w:t>
      </w:r>
      <w:proofErr w:type="spellEnd"/>
      <w:proofErr w:type="gramStart"/>
      <w:r>
        <w:rPr>
          <w:rFonts w:ascii="Times New Roman" w:eastAsia="Times New Roman" w:hAnsi="Times New Roman" w:cs="Times New Roman"/>
        </w:rPr>
        <w:t>” ,</w:t>
      </w:r>
      <w:proofErr w:type="gramEnd"/>
      <w:r>
        <w:rPr>
          <w:rFonts w:ascii="Times New Roman" w:eastAsia="Times New Roman" w:hAnsi="Times New Roman" w:cs="Times New Roman"/>
        </w:rPr>
        <w:t xml:space="preserve"> permitiendo el ingreso o la adecuación de zonas para el tránsito o permanencia de </w:t>
      </w:r>
      <w:r w:rsidR="005D5F94">
        <w:rPr>
          <w:rFonts w:ascii="Times New Roman" w:eastAsia="Times New Roman" w:hAnsi="Times New Roman" w:cs="Times New Roman"/>
        </w:rPr>
        <w:t>animales de compañía</w:t>
      </w:r>
      <w:r>
        <w:rPr>
          <w:rFonts w:ascii="Times New Roman" w:eastAsia="Times New Roman" w:hAnsi="Times New Roman" w:cs="Times New Roman"/>
        </w:rPr>
        <w:t>. Señal clara de la importancia y conciencia global que se ha ido creando en torno al trato respetuoso y amoroso que merecen los animales en general y en particular l</w:t>
      </w:r>
      <w:r w:rsidR="005D5F94">
        <w:rPr>
          <w:rFonts w:ascii="Times New Roman" w:eastAsia="Times New Roman" w:hAnsi="Times New Roman" w:cs="Times New Roman"/>
        </w:rPr>
        <w:t>o</w:t>
      </w:r>
      <w:r>
        <w:rPr>
          <w:rFonts w:ascii="Times New Roman" w:eastAsia="Times New Roman" w:hAnsi="Times New Roman" w:cs="Times New Roman"/>
        </w:rPr>
        <w:t xml:space="preserve">s </w:t>
      </w:r>
      <w:r w:rsidR="005D5F94">
        <w:rPr>
          <w:rFonts w:ascii="Times New Roman" w:eastAsia="Times New Roman" w:hAnsi="Times New Roman" w:cs="Times New Roman"/>
        </w:rPr>
        <w:t>animales de compañía</w:t>
      </w:r>
      <w:r>
        <w:rPr>
          <w:rFonts w:ascii="Times New Roman" w:eastAsia="Times New Roman" w:hAnsi="Times New Roman" w:cs="Times New Roman"/>
        </w:rPr>
        <w:t>.</w:t>
      </w:r>
    </w:p>
    <w:p w14:paraId="174D1806" w14:textId="6C950FD1"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Otro ejemplo es la industria de </w:t>
      </w:r>
      <w:proofErr w:type="spellStart"/>
      <w:r>
        <w:rPr>
          <w:rFonts w:ascii="Times New Roman" w:eastAsia="Times New Roman" w:hAnsi="Times New Roman" w:cs="Times New Roman"/>
        </w:rPr>
        <w:t>Pet</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Tech</w:t>
      </w:r>
      <w:proofErr w:type="spellEnd"/>
      <w:r>
        <w:rPr>
          <w:rFonts w:ascii="Times New Roman" w:eastAsia="Times New Roman" w:hAnsi="Times New Roman" w:cs="Times New Roman"/>
        </w:rPr>
        <w:t>, que también ha tenido una gran acogida, mercado en el que se emplea la tecnología para brindar soluciones y experiencias innovadoras para l</w:t>
      </w:r>
      <w:r w:rsidR="005D5F94">
        <w:rPr>
          <w:rFonts w:ascii="Times New Roman" w:eastAsia="Times New Roman" w:hAnsi="Times New Roman" w:cs="Times New Roman"/>
        </w:rPr>
        <w:t>o</w:t>
      </w:r>
      <w:r>
        <w:rPr>
          <w:rFonts w:ascii="Times New Roman" w:eastAsia="Times New Roman" w:hAnsi="Times New Roman" w:cs="Times New Roman"/>
        </w:rPr>
        <w:t xml:space="preserve">s </w:t>
      </w:r>
      <w:r w:rsidR="005D5F94">
        <w:rPr>
          <w:rFonts w:ascii="Times New Roman" w:eastAsia="Times New Roman" w:hAnsi="Times New Roman" w:cs="Times New Roman"/>
        </w:rPr>
        <w:t>animales de compañía</w:t>
      </w:r>
      <w:r>
        <w:rPr>
          <w:rFonts w:ascii="Times New Roman" w:eastAsia="Times New Roman" w:hAnsi="Times New Roman" w:cs="Times New Roman"/>
        </w:rPr>
        <w:t>. El impulso en la demanda del mercado ha estimulado el auge de este tipo de Startups en Latinoamérica. De acuerdo con Reyes (2024)</w:t>
      </w:r>
      <w:r>
        <w:rPr>
          <w:rFonts w:ascii="Times New Roman" w:eastAsia="Times New Roman" w:hAnsi="Times New Roman" w:cs="Times New Roman"/>
          <w:vertAlign w:val="superscript"/>
        </w:rPr>
        <w:footnoteReference w:id="22"/>
      </w:r>
      <w:r>
        <w:rPr>
          <w:rFonts w:ascii="Times New Roman" w:eastAsia="Times New Roman" w:hAnsi="Times New Roman" w:cs="Times New Roman"/>
        </w:rPr>
        <w:t xml:space="preserve">, la tecnología cubre áreas como el rastreo y monitoreo, salud y bienestar, entretenimiento e interacción, seguridad y comodidad a través de aplicaciones móviles y el uso de inteligencia artificial. Un ejemplo de ello es </w:t>
      </w:r>
      <w:proofErr w:type="spellStart"/>
      <w:r>
        <w:rPr>
          <w:rFonts w:ascii="Times New Roman" w:eastAsia="Times New Roman" w:hAnsi="Times New Roman" w:cs="Times New Roman"/>
        </w:rPr>
        <w:t>Laika</w:t>
      </w:r>
      <w:proofErr w:type="spellEnd"/>
      <w:r>
        <w:rPr>
          <w:rFonts w:ascii="Times New Roman" w:eastAsia="Times New Roman" w:hAnsi="Times New Roman" w:cs="Times New Roman"/>
        </w:rPr>
        <w:t xml:space="preserve">, la tienda online líder en Colombia para productos de </w:t>
      </w:r>
      <w:r w:rsidR="005D5F94">
        <w:rPr>
          <w:rFonts w:ascii="Times New Roman" w:eastAsia="Times New Roman" w:hAnsi="Times New Roman" w:cs="Times New Roman"/>
        </w:rPr>
        <w:t>animales de compañía</w:t>
      </w:r>
      <w:r>
        <w:rPr>
          <w:rFonts w:ascii="Times New Roman" w:eastAsia="Times New Roman" w:hAnsi="Times New Roman" w:cs="Times New Roman"/>
        </w:rPr>
        <w:t xml:space="preserve">, así como más de 17 servicios ofrecidos en colaboración activa con centros de rescate, cuidado y adopción de animales. </w:t>
      </w:r>
    </w:p>
    <w:p w14:paraId="039F4FA3" w14:textId="699EA5B8"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Pero, como lo mencionamos anteriormente, también surgen desafíos para el sector, como es el caso del déficit en la disponibilidad de especialistas que puedan brindar una oferta ante la alta demanda que presenta la comunidad frente a la comprensión de sus animales de compañía, en cuanto a su conducta y comportamientos, sobre todo el entendimiento de conductas negativas que los dueños no conocen de qué manera abordar. De acuerdo con la Caracterización de Mascotas en Bogotá realizado por el DANE, </w:t>
      </w:r>
      <w:proofErr w:type="spellStart"/>
      <w:r>
        <w:rPr>
          <w:rFonts w:ascii="Times New Roman" w:eastAsia="Times New Roman" w:hAnsi="Times New Roman" w:cs="Times New Roman"/>
        </w:rPr>
        <w:t>Euromonitor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Fenalco</w:t>
      </w:r>
      <w:proofErr w:type="spellEnd"/>
      <w:r>
        <w:rPr>
          <w:rFonts w:ascii="Times New Roman" w:eastAsia="Times New Roman" w:hAnsi="Times New Roman" w:cs="Times New Roman"/>
        </w:rPr>
        <w:t>, entre otros</w:t>
      </w:r>
      <w:r>
        <w:rPr>
          <w:rFonts w:ascii="Times New Roman" w:eastAsia="Times New Roman" w:hAnsi="Times New Roman" w:cs="Times New Roman"/>
          <w:vertAlign w:val="superscript"/>
        </w:rPr>
        <w:footnoteReference w:id="23"/>
      </w:r>
      <w:r>
        <w:rPr>
          <w:rFonts w:ascii="Times New Roman" w:eastAsia="Times New Roman" w:hAnsi="Times New Roman" w:cs="Times New Roman"/>
        </w:rPr>
        <w:t xml:space="preserve">, persiste un nicho de servicios que no ha sido completamente atendido por la oferta </w:t>
      </w:r>
      <w:r>
        <w:rPr>
          <w:rFonts w:ascii="Times New Roman" w:eastAsia="Times New Roman" w:hAnsi="Times New Roman" w:cs="Times New Roman"/>
        </w:rPr>
        <w:lastRenderedPageBreak/>
        <w:t xml:space="preserve">actual o que los hogares no tienen conocimiento o acceso a estos. Dentro de estas se encuentra el abastecimiento de agua y comida en centro de ayuda a mascotas, club de amigos para mascotas, funerarias, EPS e instructores a domicilio, seguimiento a paseadores por GPS, taxis para transporte exclusivo de </w:t>
      </w:r>
      <w:r w:rsidR="005D5F94">
        <w:rPr>
          <w:rFonts w:ascii="Times New Roman" w:eastAsia="Times New Roman" w:hAnsi="Times New Roman" w:cs="Times New Roman"/>
        </w:rPr>
        <w:t>animales de compañía</w:t>
      </w:r>
      <w:r>
        <w:rPr>
          <w:rFonts w:ascii="Times New Roman" w:eastAsia="Times New Roman" w:hAnsi="Times New Roman" w:cs="Times New Roman"/>
        </w:rPr>
        <w:t>, servicio oficial de rescate de animales, paseadores certificados y productos especializados para el cuidado oral de l</w:t>
      </w:r>
      <w:r w:rsidR="005D5F94">
        <w:rPr>
          <w:rFonts w:ascii="Times New Roman" w:eastAsia="Times New Roman" w:hAnsi="Times New Roman" w:cs="Times New Roman"/>
        </w:rPr>
        <w:t>o</w:t>
      </w:r>
      <w:r>
        <w:rPr>
          <w:rFonts w:ascii="Times New Roman" w:eastAsia="Times New Roman" w:hAnsi="Times New Roman" w:cs="Times New Roman"/>
        </w:rPr>
        <w:t xml:space="preserve">s </w:t>
      </w:r>
      <w:r w:rsidR="005D5F94">
        <w:rPr>
          <w:rFonts w:ascii="Times New Roman" w:eastAsia="Times New Roman" w:hAnsi="Times New Roman" w:cs="Times New Roman"/>
        </w:rPr>
        <w:t>animales de compañía</w:t>
      </w:r>
      <w:r>
        <w:rPr>
          <w:rFonts w:ascii="Times New Roman" w:eastAsia="Times New Roman" w:hAnsi="Times New Roman" w:cs="Times New Roman"/>
        </w:rPr>
        <w:t>. Lo anterior, revela una brecha entre la demanda y la oferta que representa una oportunidad que debe ser atendida para reducir las asimetrías de información entre los dueños de animales de compañía y los proveedores de servicios. Esto no solo facilita la conexión con los servicios existentes, sino que también permitiría comprender las nuevas demandas del mercado y fomentar la creación de nuevos negocios que respondan a esas necesidades.</w:t>
      </w:r>
    </w:p>
    <w:p w14:paraId="11BECF33"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Por otro lado, a partir del estudio realizado por IDYBA (2018)</w:t>
      </w:r>
      <w:r>
        <w:rPr>
          <w:rFonts w:ascii="Times New Roman" w:eastAsia="Times New Roman" w:hAnsi="Times New Roman" w:cs="Times New Roman"/>
          <w:vertAlign w:val="superscript"/>
        </w:rPr>
        <w:footnoteReference w:id="24"/>
      </w:r>
      <w:r>
        <w:rPr>
          <w:rFonts w:ascii="Times New Roman" w:eastAsia="Times New Roman" w:hAnsi="Times New Roman" w:cs="Times New Roman"/>
        </w:rPr>
        <w:t>, se encuentra que el 19% de los dueños de animales de compañía nunca había frecuentado algún tipo de servicios veterinarios, y el 16% afirmó que había pasado más de un año desde la última visita a un centro veterinario. Por lo que existe un área de oportunidad para la demanda de servicios, enfocada en la concientización de aquellos hogares que no demuestran patrones adecuados de cuidado hacia sus animales de compañía, que no han recibido vacunas, desparasitación y ningún tipo de cuidado básico en términos de salud. Con una intervención adecuada, estos hogares podrían convertirse en clientes potenciales para los comercios especializados en este nicho.</w:t>
      </w:r>
    </w:p>
    <w:p w14:paraId="601F86BB" w14:textId="77777777" w:rsidR="00E63642" w:rsidRDefault="00BC177F">
      <w:pPr>
        <w:numPr>
          <w:ilvl w:val="2"/>
          <w:numId w:val="2"/>
        </w:numPr>
        <w:pBdr>
          <w:top w:val="nil"/>
          <w:left w:val="nil"/>
          <w:bottom w:val="nil"/>
          <w:right w:val="nil"/>
          <w:between w:val="nil"/>
        </w:pBdr>
        <w:spacing w:after="160" w:line="276" w:lineRule="auto"/>
        <w:ind w:left="425" w:hanging="425"/>
        <w:jc w:val="both"/>
        <w:rPr>
          <w:rFonts w:ascii="Times New Roman" w:eastAsia="Times New Roman" w:hAnsi="Times New Roman" w:cs="Times New Roman"/>
          <w:b/>
          <w:bCs/>
        </w:rPr>
      </w:pPr>
      <w:r>
        <w:rPr>
          <w:rFonts w:ascii="Times New Roman" w:eastAsia="Times New Roman" w:hAnsi="Times New Roman" w:cs="Times New Roman"/>
          <w:b/>
          <w:bCs/>
        </w:rPr>
        <w:t xml:space="preserve">¿Qué son y para qué sirven los </w:t>
      </w:r>
      <w:proofErr w:type="spellStart"/>
      <w:r>
        <w:rPr>
          <w:rFonts w:ascii="Times New Roman" w:eastAsia="Times New Roman" w:hAnsi="Times New Roman" w:cs="Times New Roman"/>
          <w:b/>
          <w:bCs/>
        </w:rPr>
        <w:t>Clústers</w:t>
      </w:r>
      <w:proofErr w:type="spellEnd"/>
      <w:r>
        <w:rPr>
          <w:rFonts w:ascii="Times New Roman" w:eastAsia="Times New Roman" w:hAnsi="Times New Roman" w:cs="Times New Roman"/>
          <w:b/>
          <w:bCs/>
        </w:rPr>
        <w:t xml:space="preserve">? </w:t>
      </w:r>
    </w:p>
    <w:p w14:paraId="34809E68"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La palabra "clúster", que en español se traduce como "agrupación" o "conglomerado", evoca la idea de un conjunto de elementos. En el mundo empresarial actual, la competencia global y la rápida evolución tecnológica han llevado a las empresas a buscar formas más efectivas de mantenerse competitivas e innovadoras. Una de las estrategias más efectivas para lograr esto es la formación de clústeres empresariales (Pezoa, 2010)</w:t>
      </w:r>
      <w:r>
        <w:rPr>
          <w:rFonts w:ascii="Times New Roman" w:eastAsia="Times New Roman" w:hAnsi="Times New Roman" w:cs="Times New Roman"/>
          <w:vertAlign w:val="superscript"/>
        </w:rPr>
        <w:footnoteReference w:id="25"/>
      </w:r>
      <w:r>
        <w:rPr>
          <w:rFonts w:ascii="Times New Roman" w:eastAsia="Times New Roman" w:hAnsi="Times New Roman" w:cs="Times New Roman"/>
        </w:rPr>
        <w:t>.</w:t>
      </w:r>
    </w:p>
    <w:p w14:paraId="4549D9E4"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Estos agrupamientos geográficos de empresas, proveedores, instituciones académicas y otros actores clave de una industria específica generan sinergias que impulsan la productividad, la innovación y el desarrollo económico. Los clústeres empresariales no solo promueven la colaboración y el intercambio de conocimientos, sino que también brindan a las empresas acceso a recursos especializados y economías de escala. (Pezoa. 2010)</w:t>
      </w:r>
      <w:r>
        <w:rPr>
          <w:rFonts w:ascii="Times New Roman" w:eastAsia="Times New Roman" w:hAnsi="Times New Roman" w:cs="Times New Roman"/>
          <w:vertAlign w:val="superscript"/>
        </w:rPr>
        <w:footnoteReference w:id="26"/>
      </w:r>
    </w:p>
    <w:p w14:paraId="3D38DF10"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Un </w:t>
      </w:r>
      <w:proofErr w:type="spellStart"/>
      <w:r>
        <w:rPr>
          <w:rFonts w:ascii="Times New Roman" w:eastAsia="Times New Roman" w:hAnsi="Times New Roman" w:cs="Times New Roman"/>
        </w:rPr>
        <w:t>cluster</w:t>
      </w:r>
      <w:proofErr w:type="spellEnd"/>
      <w:r>
        <w:rPr>
          <w:rFonts w:ascii="Times New Roman" w:eastAsia="Times New Roman" w:hAnsi="Times New Roman" w:cs="Times New Roman"/>
        </w:rPr>
        <w:t xml:space="preserve"> empresarial es una agrupación geográfica de empresas, proveedores y/o incluso instituciones o entidades relacionadas que operan un mismo sector o industria y que colaboran entre sí para lograr ventajas competitivas y aumentar su eficiencia. Estos clústeres pueden incluir empresas de diferentes tamaños, desde grandes corporaciones hasta pequeñas y medianas empresas (</w:t>
      </w:r>
      <w:proofErr w:type="spellStart"/>
      <w:r>
        <w:rPr>
          <w:rFonts w:ascii="Times New Roman" w:eastAsia="Times New Roman" w:hAnsi="Times New Roman" w:cs="Times New Roman"/>
        </w:rPr>
        <w:t>PYMEs</w:t>
      </w:r>
      <w:proofErr w:type="spellEnd"/>
      <w:r>
        <w:rPr>
          <w:rFonts w:ascii="Times New Roman" w:eastAsia="Times New Roman" w:hAnsi="Times New Roman" w:cs="Times New Roman"/>
        </w:rPr>
        <w:t>), así como instituciones educativas, centros de investigación, y organizaciones gubernamentales. (Capó-Vicedo.2007)</w:t>
      </w:r>
      <w:r>
        <w:rPr>
          <w:rFonts w:ascii="Times New Roman" w:eastAsia="Times New Roman" w:hAnsi="Times New Roman" w:cs="Times New Roman"/>
          <w:vertAlign w:val="superscript"/>
        </w:rPr>
        <w:footnoteReference w:id="27"/>
      </w:r>
    </w:p>
    <w:p w14:paraId="49D23D7B"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Por lo tanto, al hablar de un clúster empresarial, se hace referencia a la idea de que las empresas se agrupan en función de características comunes para fortalecerse y aumentar su productividad, lo que resulta en una mayor competitividad Porter (1998)</w:t>
      </w:r>
      <w:r>
        <w:rPr>
          <w:rFonts w:ascii="Times New Roman" w:eastAsia="Times New Roman" w:hAnsi="Times New Roman" w:cs="Times New Roman"/>
          <w:vertAlign w:val="superscript"/>
        </w:rPr>
        <w:footnoteReference w:id="28"/>
      </w:r>
      <w:r>
        <w:rPr>
          <w:rFonts w:ascii="Times New Roman" w:eastAsia="Times New Roman" w:hAnsi="Times New Roman" w:cs="Times New Roman"/>
        </w:rPr>
        <w:t xml:space="preserve"> define el concepto de </w:t>
      </w:r>
      <w:proofErr w:type="spellStart"/>
      <w:r>
        <w:rPr>
          <w:rFonts w:ascii="Times New Roman" w:eastAsia="Times New Roman" w:hAnsi="Times New Roman" w:cs="Times New Roman"/>
        </w:rPr>
        <w:t>cluster</w:t>
      </w:r>
      <w:proofErr w:type="spellEnd"/>
      <w:r>
        <w:rPr>
          <w:rFonts w:ascii="Times New Roman" w:eastAsia="Times New Roman" w:hAnsi="Times New Roman" w:cs="Times New Roman"/>
        </w:rPr>
        <w:t xml:space="preserve"> como un “grupo geográficamente denso de empresas e instituciones conectadas, pertenecientes a un campo concreto, unidas por rasgos comunes y complementarias entre sí”. </w:t>
      </w:r>
    </w:p>
    <w:p w14:paraId="218D7B44" w14:textId="77777777" w:rsidR="00E63642" w:rsidRDefault="00BC177F">
      <w:pPr>
        <w:pBdr>
          <w:top w:val="none" w:sz="0" w:space="0" w:color="000000"/>
          <w:left w:val="none" w:sz="0" w:space="0" w:color="000000"/>
          <w:bottom w:val="none" w:sz="0" w:space="0" w:color="000000"/>
          <w:right w:val="none" w:sz="0" w:space="0" w:color="000000"/>
          <w:between w:val="none" w:sz="0" w:space="0" w:color="000000"/>
        </w:pBd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 xml:space="preserve">Con base en su definición, este grupo de empresas e instituciones interrelacionadas, que se encuentran concentradas geográficamente, y que compiten en un mismo negocio, generalmente incluyen: </w:t>
      </w:r>
    </w:p>
    <w:p w14:paraId="4BBEA28A" w14:textId="77777777" w:rsidR="00E63642" w:rsidRDefault="00BC177F">
      <w:pPr>
        <w:numPr>
          <w:ilvl w:val="0"/>
          <w:numId w:val="3"/>
        </w:numPr>
        <w:spacing w:line="276" w:lineRule="auto"/>
        <w:jc w:val="both"/>
        <w:rPr>
          <w:rFonts w:ascii="Times New Roman" w:eastAsia="Times New Roman" w:hAnsi="Times New Roman" w:cs="Times New Roman"/>
          <w:color w:val="3C3C3C"/>
        </w:rPr>
      </w:pPr>
      <w:r>
        <w:rPr>
          <w:rFonts w:ascii="Times New Roman" w:eastAsia="Times New Roman" w:hAnsi="Times New Roman" w:cs="Times New Roman"/>
        </w:rPr>
        <w:t>Empresas situadas en varios escalones de la cadena de valor</w:t>
      </w:r>
    </w:p>
    <w:p w14:paraId="6B6E62DE" w14:textId="77777777" w:rsidR="00E63642" w:rsidRDefault="00BC177F">
      <w:pPr>
        <w:numPr>
          <w:ilvl w:val="0"/>
          <w:numId w:val="3"/>
        </w:numPr>
        <w:spacing w:line="276" w:lineRule="auto"/>
        <w:jc w:val="both"/>
        <w:rPr>
          <w:rFonts w:ascii="Times New Roman" w:eastAsia="Times New Roman" w:hAnsi="Times New Roman" w:cs="Times New Roman"/>
          <w:color w:val="3C3C3C"/>
        </w:rPr>
      </w:pPr>
      <w:r>
        <w:rPr>
          <w:rFonts w:ascii="Times New Roman" w:eastAsia="Times New Roman" w:hAnsi="Times New Roman" w:cs="Times New Roman"/>
        </w:rPr>
        <w:t>Empresas productoras de bienes y servicios complementarios</w:t>
      </w:r>
    </w:p>
    <w:p w14:paraId="04D3DD95" w14:textId="77777777" w:rsidR="00E63642" w:rsidRDefault="00BC177F">
      <w:pPr>
        <w:numPr>
          <w:ilvl w:val="0"/>
          <w:numId w:val="3"/>
        </w:numPr>
        <w:spacing w:after="160" w:line="276" w:lineRule="auto"/>
        <w:jc w:val="both"/>
        <w:rPr>
          <w:rFonts w:ascii="Times New Roman" w:eastAsia="Times New Roman" w:hAnsi="Times New Roman" w:cs="Times New Roman"/>
          <w:color w:val="3C3C3C"/>
        </w:rPr>
      </w:pPr>
      <w:r>
        <w:rPr>
          <w:rFonts w:ascii="Times New Roman" w:eastAsia="Times New Roman" w:hAnsi="Times New Roman" w:cs="Times New Roman"/>
        </w:rPr>
        <w:t>Instituciones y organizaciones relacionadas: universidades, centros de investigación, agencias gubernamentales, etc.</w:t>
      </w:r>
    </w:p>
    <w:p w14:paraId="3FB42FA3" w14:textId="26ED5C5C"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Formar parte de un clúster ofrece a una empresa múltiples ventajas estratégicas que pueden mejorar significativamente su competitividad. Facilita el acceso a nuevos mercados y a recursos de alto costo, permitiendo un aprovechamiento más eficiente de estos. Además, la colaboración con otras empresas dentro del clúster promueve la innovación y el desarrollo tecnológico, impulsando la realización conjunta de proyectos compartidos. Esto también genera economías de concentración y localización, optimizando costos operativos. En conjunto, estas dinámicas favorecen la creación y explotación de nuevos negocios, posicionando a la empresa de manera más efectiva en su sector (SEKUENS. 2019)</w:t>
      </w:r>
      <w:r>
        <w:rPr>
          <w:rFonts w:ascii="Times New Roman" w:eastAsia="Times New Roman" w:hAnsi="Times New Roman" w:cs="Times New Roman"/>
          <w:vertAlign w:val="superscript"/>
        </w:rPr>
        <w:footnoteReference w:id="29"/>
      </w:r>
      <w:r>
        <w:rPr>
          <w:rFonts w:ascii="Times New Roman" w:eastAsia="Times New Roman" w:hAnsi="Times New Roman" w:cs="Times New Roman"/>
        </w:rPr>
        <w:t>.</w:t>
      </w:r>
    </w:p>
    <w:p w14:paraId="7E946630" w14:textId="77777777" w:rsidR="00E63642" w:rsidRDefault="00E63642">
      <w:pPr>
        <w:spacing w:after="160" w:line="276" w:lineRule="auto"/>
        <w:jc w:val="both"/>
        <w:rPr>
          <w:rFonts w:ascii="Times New Roman" w:eastAsia="Times New Roman" w:hAnsi="Times New Roman" w:cs="Times New Roman"/>
        </w:rPr>
      </w:pPr>
    </w:p>
    <w:p w14:paraId="1E2147CF" w14:textId="77777777" w:rsidR="00E63642" w:rsidRDefault="00BC177F">
      <w:pPr>
        <w:spacing w:after="160" w:line="276" w:lineRule="auto"/>
        <w:jc w:val="both"/>
        <w:rPr>
          <w:rFonts w:ascii="Times New Roman" w:eastAsia="Times New Roman" w:hAnsi="Times New Roman" w:cs="Times New Roman"/>
          <w:b/>
          <w:bCs/>
          <w:i/>
          <w:iCs/>
        </w:rPr>
      </w:pPr>
      <w:r>
        <w:rPr>
          <w:rFonts w:ascii="Times New Roman" w:eastAsia="Times New Roman" w:hAnsi="Times New Roman" w:cs="Times New Roman"/>
          <w:b/>
          <w:bCs/>
          <w:i/>
          <w:iCs/>
        </w:rPr>
        <w:t>2.1.6. Los “</w:t>
      </w:r>
      <w:proofErr w:type="spellStart"/>
      <w:r>
        <w:rPr>
          <w:rFonts w:ascii="Times New Roman" w:eastAsia="Times New Roman" w:hAnsi="Times New Roman" w:cs="Times New Roman"/>
          <w:b/>
          <w:bCs/>
          <w:i/>
          <w:iCs/>
        </w:rPr>
        <w:t>Clusters</w:t>
      </w:r>
      <w:proofErr w:type="spellEnd"/>
      <w:r>
        <w:rPr>
          <w:rFonts w:ascii="Times New Roman" w:eastAsia="Times New Roman" w:hAnsi="Times New Roman" w:cs="Times New Roman"/>
          <w:b/>
          <w:bCs/>
          <w:i/>
          <w:iCs/>
        </w:rPr>
        <w:t xml:space="preserve">” como motores </w:t>
      </w:r>
      <w:proofErr w:type="gramStart"/>
      <w:r>
        <w:rPr>
          <w:rFonts w:ascii="Times New Roman" w:eastAsia="Times New Roman" w:hAnsi="Times New Roman" w:cs="Times New Roman"/>
          <w:b/>
          <w:bCs/>
          <w:i/>
          <w:iCs/>
        </w:rPr>
        <w:t>de  competitividad</w:t>
      </w:r>
      <w:proofErr w:type="gramEnd"/>
      <w:r>
        <w:rPr>
          <w:rFonts w:ascii="Times New Roman" w:eastAsia="Times New Roman" w:hAnsi="Times New Roman" w:cs="Times New Roman"/>
          <w:b/>
          <w:bCs/>
          <w:i/>
          <w:iCs/>
        </w:rPr>
        <w:t xml:space="preserve"> y  desarrollo económico</w:t>
      </w:r>
    </w:p>
    <w:p w14:paraId="7DCC9A26" w14:textId="77777777" w:rsidR="00E63642" w:rsidRDefault="00BC177F">
      <w:pPr>
        <w:pBdr>
          <w:top w:val="nil"/>
          <w:left w:val="nil"/>
          <w:bottom w:val="nil"/>
          <w:right w:val="nil"/>
          <w:between w:val="nil"/>
        </w:pBdr>
        <w:spacing w:after="160" w:line="276" w:lineRule="auto"/>
        <w:jc w:val="both"/>
        <w:rPr>
          <w:rFonts w:ascii="Times New Roman" w:eastAsia="Times New Roman" w:hAnsi="Times New Roman" w:cs="Times New Roman"/>
        </w:rPr>
      </w:pPr>
      <w:r>
        <w:rPr>
          <w:rFonts w:ascii="Times New Roman" w:eastAsia="Times New Roman" w:hAnsi="Times New Roman" w:cs="Times New Roman"/>
        </w:rPr>
        <w:t>Fortalecer el sector económico de bienes y servicios para animales permitirá abordar varios problemas de Bogotá, especialmente los relacionados a temas de crecimiento económico, generación de empleo, formación y capacitaciones.</w:t>
      </w:r>
    </w:p>
    <w:p w14:paraId="2D42AEB9" w14:textId="77777777" w:rsidR="00E63642" w:rsidRDefault="00BC177F">
      <w:pPr>
        <w:pBdr>
          <w:top w:val="nil"/>
          <w:left w:val="nil"/>
          <w:bottom w:val="nil"/>
          <w:right w:val="nil"/>
          <w:between w:val="nil"/>
        </w:pBdr>
        <w:spacing w:after="160" w:line="276" w:lineRule="auto"/>
        <w:jc w:val="both"/>
        <w:rPr>
          <w:rFonts w:ascii="Times New Roman" w:eastAsia="Times New Roman" w:hAnsi="Times New Roman" w:cs="Times New Roman"/>
          <w:b/>
          <w:bCs/>
          <w:i/>
          <w:iCs/>
        </w:rPr>
      </w:pPr>
      <w:r>
        <w:rPr>
          <w:rFonts w:ascii="Times New Roman" w:eastAsia="Times New Roman" w:hAnsi="Times New Roman" w:cs="Times New Roman"/>
        </w:rPr>
        <w:t>Solo en Bogotá hay más de 2.000 empresas en el campo de alimentos, cuidados y servicios veterinarios, y 32.000 más pertenecientes a negocios relacionados lo que constituye oportunidades para generar nuevas oportunidades comerciales con sectores como el de la moda, los cosméticos, la farmacéutica, el turismo, la recreación y la logística (CCB, 2024).</w:t>
      </w:r>
      <w:r>
        <w:rPr>
          <w:rFonts w:ascii="Times New Roman" w:eastAsia="Times New Roman" w:hAnsi="Times New Roman" w:cs="Times New Roman"/>
          <w:vertAlign w:val="superscript"/>
        </w:rPr>
        <w:footnoteReference w:id="30"/>
      </w:r>
    </w:p>
    <w:p w14:paraId="7235C00D"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Para este sector económico la organización de clústeres es esencial, pues el auge de crecimiento y dinamización que presenta a partir de una mayor demanda junto con las oportunidades de expansión del mercado hacen necesaria la generación un camino que guíe dicha expansión hacia la colaboración conjunta, la generación de sistemas de información unificada, la innovación y competitividad de los sectores, así como una mejor conexión entre la demanda y la oferta de bienes y servicios. </w:t>
      </w:r>
    </w:p>
    <w:p w14:paraId="1315B28E"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La generación de clústeres trae múltiples beneficios a los grupos económicos que desde la colectividad pueden generar mayores ingresos, productividad y fortalecimiento de la </w:t>
      </w:r>
      <w:r>
        <w:rPr>
          <w:rFonts w:ascii="Times New Roman" w:eastAsia="Times New Roman" w:hAnsi="Times New Roman" w:cs="Times New Roman"/>
        </w:rPr>
        <w:lastRenderedPageBreak/>
        <w:t xml:space="preserve">economía local. Por un lado, la organización y coordinación del sector permite identificar y agrupar empresas, instituciones y demás actores para la cooperación de lo que a su vez desencadena el aumento de la competitividad gracias a que la interacción genera un proceso de creación e intercambio de conocimiento, lo cual aumenta la ventaja comparativa del clúster. De igual forma, a través de la agrupación es posible llegar al uso de recursos compartidos lo cual disminuye los costos de transacción por empresa (Capó, </w:t>
      </w:r>
      <w:proofErr w:type="spellStart"/>
      <w:r>
        <w:rPr>
          <w:rFonts w:ascii="Times New Roman" w:eastAsia="Times New Roman" w:hAnsi="Times New Roman" w:cs="Times New Roman"/>
        </w:rPr>
        <w:t>Exposito</w:t>
      </w:r>
      <w:proofErr w:type="spellEnd"/>
      <w:r>
        <w:rPr>
          <w:rFonts w:ascii="Times New Roman" w:eastAsia="Times New Roman" w:hAnsi="Times New Roman" w:cs="Times New Roman"/>
        </w:rPr>
        <w:t xml:space="preserve"> y Masía, 2007)</w:t>
      </w:r>
      <w:r>
        <w:rPr>
          <w:rFonts w:ascii="Times New Roman" w:eastAsia="Times New Roman" w:hAnsi="Times New Roman" w:cs="Times New Roman"/>
          <w:vertAlign w:val="superscript"/>
        </w:rPr>
        <w:footnoteReference w:id="31"/>
      </w:r>
      <w:r>
        <w:rPr>
          <w:rFonts w:ascii="Times New Roman" w:eastAsia="Times New Roman" w:hAnsi="Times New Roman" w:cs="Times New Roman"/>
        </w:rPr>
        <w:t>.</w:t>
      </w:r>
    </w:p>
    <w:p w14:paraId="426FA091"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Asimismo, la </w:t>
      </w:r>
      <w:proofErr w:type="spellStart"/>
      <w:r>
        <w:rPr>
          <w:rFonts w:ascii="Times New Roman" w:eastAsia="Times New Roman" w:hAnsi="Times New Roman" w:cs="Times New Roman"/>
        </w:rPr>
        <w:t>guianza</w:t>
      </w:r>
      <w:proofErr w:type="spellEnd"/>
      <w:r>
        <w:rPr>
          <w:rFonts w:ascii="Times New Roman" w:eastAsia="Times New Roman" w:hAnsi="Times New Roman" w:cs="Times New Roman"/>
        </w:rPr>
        <w:t xml:space="preserve"> institucional y de política pública pueden generar los recursos de información necesarios para la conformación de cadenas de valor entre los integrantes del clúster lo que no solo genera beneficios económicos, sino que además establece una comunidad de confianza entre las empresas. De acuerdo con Capó, </w:t>
      </w:r>
      <w:proofErr w:type="spellStart"/>
      <w:r>
        <w:rPr>
          <w:rFonts w:ascii="Times New Roman" w:eastAsia="Times New Roman" w:hAnsi="Times New Roman" w:cs="Times New Roman"/>
        </w:rPr>
        <w:t>Exposito</w:t>
      </w:r>
      <w:proofErr w:type="spellEnd"/>
      <w:r>
        <w:rPr>
          <w:rFonts w:ascii="Times New Roman" w:eastAsia="Times New Roman" w:hAnsi="Times New Roman" w:cs="Times New Roman"/>
        </w:rPr>
        <w:t xml:space="preserve"> y Masía (2007)</w:t>
      </w:r>
      <w:r>
        <w:rPr>
          <w:rFonts w:ascii="Times New Roman" w:eastAsia="Times New Roman" w:hAnsi="Times New Roman" w:cs="Times New Roman"/>
          <w:vertAlign w:val="superscript"/>
        </w:rPr>
        <w:footnoteReference w:id="32"/>
      </w:r>
      <w:r>
        <w:rPr>
          <w:rFonts w:ascii="Times New Roman" w:eastAsia="Times New Roman" w:hAnsi="Times New Roman" w:cs="Times New Roman"/>
        </w:rPr>
        <w:t xml:space="preserve">, esto reduce la incertidumbre empresarial y permite un mejor desarrollo. </w:t>
      </w:r>
    </w:p>
    <w:p w14:paraId="4F6FB03E"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Desde otra perspectiva, la organización de los clústeres genera mayor visibilidad y reconocimiento mutuo entre empresas e instituciones y organizaciones. De esta forma, el sector público puede tener un mayor conocimiento sobre el estado actual, problemáticas y progreso del sector económico en cuestión con el fin de focalizar de una manera más efectiva las ayudas económicas, incentivos, capacitaciones y demás políticas públicas con mejor impacto gracias a la evidencia de los datos. </w:t>
      </w:r>
    </w:p>
    <w:p w14:paraId="0AC92500"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Moss (2003)</w:t>
      </w:r>
      <w:r>
        <w:rPr>
          <w:rFonts w:ascii="Times New Roman" w:eastAsia="Times New Roman" w:hAnsi="Times New Roman" w:cs="Times New Roman"/>
          <w:vertAlign w:val="superscript"/>
        </w:rPr>
        <w:footnoteReference w:id="33"/>
      </w:r>
      <w:r>
        <w:rPr>
          <w:rFonts w:ascii="Times New Roman" w:eastAsia="Times New Roman" w:hAnsi="Times New Roman" w:cs="Times New Roman"/>
        </w:rPr>
        <w:t xml:space="preserve">, sostiene que, en el contexto actual de la economía globalizada, una estrategia fundamental para que las comunidades mantengan su control local es la búsqueda de ventajas comparativas que les permitan desarrollar una competitividad a nivel global. En este marco, la </w:t>
      </w:r>
      <w:proofErr w:type="spellStart"/>
      <w:r>
        <w:rPr>
          <w:rFonts w:ascii="Times New Roman" w:eastAsia="Times New Roman" w:hAnsi="Times New Roman" w:cs="Times New Roman"/>
        </w:rPr>
        <w:t>clusterización</w:t>
      </w:r>
      <w:proofErr w:type="spellEnd"/>
      <w:r>
        <w:rPr>
          <w:rFonts w:ascii="Times New Roman" w:eastAsia="Times New Roman" w:hAnsi="Times New Roman" w:cs="Times New Roman"/>
        </w:rPr>
        <w:t xml:space="preserve"> se presenta como un mecanismo relevante para potenciar este factor, ya que facilita la formación de un gremio sólido que estructure encadenamientos de valor a nivel local, pero que además fomente la innovación mediante los beneficios de la globalización, sin que esto implique un impacto negativo que derive en la reducción de los costos de importación.</w:t>
      </w:r>
    </w:p>
    <w:p w14:paraId="619D28BF"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Por otro lado, el estudio de </w:t>
      </w:r>
      <w:proofErr w:type="spellStart"/>
      <w:r>
        <w:rPr>
          <w:rFonts w:ascii="Times New Roman" w:eastAsia="Times New Roman" w:hAnsi="Times New Roman" w:cs="Times New Roman"/>
        </w:rPr>
        <w:t>Shiposha</w:t>
      </w:r>
      <w:proofErr w:type="spellEnd"/>
      <w:r>
        <w:rPr>
          <w:rFonts w:ascii="Times New Roman" w:eastAsia="Times New Roman" w:hAnsi="Times New Roman" w:cs="Times New Roman"/>
        </w:rPr>
        <w:t xml:space="preserve"> (2020)</w:t>
      </w:r>
      <w:r>
        <w:rPr>
          <w:rFonts w:ascii="Times New Roman" w:eastAsia="Times New Roman" w:hAnsi="Times New Roman" w:cs="Times New Roman"/>
          <w:vertAlign w:val="superscript"/>
        </w:rPr>
        <w:footnoteReference w:id="34"/>
      </w:r>
      <w:r>
        <w:rPr>
          <w:rFonts w:ascii="Times New Roman" w:eastAsia="Times New Roman" w:hAnsi="Times New Roman" w:cs="Times New Roman"/>
        </w:rPr>
        <w:t xml:space="preserve"> establece que la colaboración para el beneficio económico de las empresas de un nicho puede construir un efecto sinérgico en el que se encuentran recursos con otros sectores aparte de los comercios, como la academia, las finanzas y ciencias lo que deriva en soluciones de innovación que además promueven la creación y el desarrollo de nuevas empresas. Además, argumenta que al estar organizadas y conformar un gremio se genera mayor visibilidad para inversionistas, gracias a una mayor confianza en las estructuras de red en comparación con empresas individuales.</w:t>
      </w:r>
    </w:p>
    <w:p w14:paraId="6531069E" w14:textId="77777777" w:rsidR="00E63642" w:rsidRDefault="00BC177F">
      <w:pPr>
        <w:pBdr>
          <w:top w:val="nil"/>
          <w:left w:val="nil"/>
          <w:bottom w:val="nil"/>
          <w:right w:val="nil"/>
          <w:between w:val="nil"/>
        </w:pBdr>
        <w:spacing w:after="160" w:line="276" w:lineRule="auto"/>
        <w:jc w:val="both"/>
        <w:rPr>
          <w:rFonts w:ascii="Times New Roman" w:eastAsia="Times New Roman" w:hAnsi="Times New Roman" w:cs="Times New Roman"/>
          <w:b/>
          <w:bCs/>
        </w:rPr>
      </w:pPr>
      <w:r>
        <w:rPr>
          <w:rFonts w:ascii="Times New Roman" w:eastAsia="Times New Roman" w:hAnsi="Times New Roman" w:cs="Times New Roman"/>
          <w:b/>
          <w:bCs/>
        </w:rPr>
        <w:t>2.1.7. Antecedentes distritales</w:t>
      </w:r>
    </w:p>
    <w:p w14:paraId="24D7D66F"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El 26 de junio de 2024, la Cámara de Comercio de Bogotá inauguró el primer Clúster Animalista de la ciudad y del país. Esta iniciativa tiene como objetivo fomentar la competitividad en el sector a través de una serie de asesorías que facilitan la consolidación de redes de distribución de productos, crean espacios de </w:t>
      </w:r>
      <w:proofErr w:type="spellStart"/>
      <w:r>
        <w:rPr>
          <w:rFonts w:ascii="Times New Roman" w:eastAsia="Times New Roman" w:hAnsi="Times New Roman" w:cs="Times New Roman"/>
        </w:rPr>
        <w:t>networking</w:t>
      </w:r>
      <w:proofErr w:type="spellEnd"/>
      <w:r>
        <w:rPr>
          <w:rFonts w:ascii="Times New Roman" w:eastAsia="Times New Roman" w:hAnsi="Times New Roman" w:cs="Times New Roman"/>
        </w:rPr>
        <w:t>, y brindan apoyo en innovación tecnológica y digital. Asimismo, se ofrece formación para el desarrollo de productos y servicios asertivos, lo que contribuirá a fortalecer el ecosistema empresarial en Bogotá (CCB, 2024)</w:t>
      </w:r>
      <w:r>
        <w:rPr>
          <w:rFonts w:ascii="Times New Roman" w:eastAsia="Times New Roman" w:hAnsi="Times New Roman" w:cs="Times New Roman"/>
          <w:vertAlign w:val="superscript"/>
        </w:rPr>
        <w:footnoteReference w:id="35"/>
      </w:r>
      <w:r>
        <w:rPr>
          <w:rFonts w:ascii="Times New Roman" w:eastAsia="Times New Roman" w:hAnsi="Times New Roman" w:cs="Times New Roman"/>
        </w:rPr>
        <w:t xml:space="preserve">. </w:t>
      </w:r>
    </w:p>
    <w:p w14:paraId="074A1D8B"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De manera integral también se crea la comunidad digital de clústeres de la Cámara de Comercio de Bogotá como un espacio virtual donde los empresarios pueden acceder a diversos servicios, como capacitaciones, talleres, ruedas de negocios y un directorio de contactos. Esta comunidad también incluye a la economía informal, reconociendo su importancia en el tejido empresarial local.</w:t>
      </w:r>
    </w:p>
    <w:p w14:paraId="415C2055" w14:textId="77777777" w:rsidR="00E63642" w:rsidRDefault="00BC177F">
      <w:pPr>
        <w:spacing w:after="160" w:line="276" w:lineRule="auto"/>
        <w:jc w:val="both"/>
        <w:rPr>
          <w:rFonts w:ascii="Times New Roman" w:eastAsia="Times New Roman" w:hAnsi="Times New Roman" w:cs="Times New Roman"/>
          <w:highlight w:val="cyan"/>
        </w:rPr>
      </w:pPr>
      <w:r>
        <w:rPr>
          <w:rFonts w:ascii="Times New Roman" w:eastAsia="Times New Roman" w:hAnsi="Times New Roman" w:cs="Times New Roman"/>
        </w:rPr>
        <w:t xml:space="preserve">El Clúster Animalista ofrece soluciones administrativas, normativas, logísticas y tecnológicas que promueven el bienestar de los animales. A través de un proceso de caracterización del sector, se desarrollará una ruta de intervención con el objetivo de crear 30 nuevos negocios entre los miembros del clúster. Hasta la fecha, la comunidad cuenta con 168 miembros, aunque aún no se han generado empleos a través de esta iniciativa por su reciente creación. Además, se ha diseñado una Ruta de Protección y Bienestar Animal, que está dirigida al tejido </w:t>
      </w:r>
      <w:r>
        <w:rPr>
          <w:rFonts w:ascii="Times New Roman" w:eastAsia="Times New Roman" w:hAnsi="Times New Roman" w:cs="Times New Roman"/>
        </w:rPr>
        <w:lastRenderedPageBreak/>
        <w:t>empresarial vinculado a la economía popular y solidaria, así como a las Entidades Sin Ánimo de Lucro (ESAL) de Bogotá. Esta ruta tiene como propósito desarrollar nuevos negocios enfocados en este nicho, mejorar las cadenas de distribución y facilitar los procesos de formalización  (CCB, 2024)</w:t>
      </w:r>
      <w:r>
        <w:rPr>
          <w:rFonts w:ascii="Times New Roman" w:eastAsia="Times New Roman" w:hAnsi="Times New Roman" w:cs="Times New Roman"/>
          <w:vertAlign w:val="superscript"/>
        </w:rPr>
        <w:footnoteReference w:id="36"/>
      </w:r>
      <w:r>
        <w:rPr>
          <w:rFonts w:ascii="Times New Roman" w:eastAsia="Times New Roman" w:hAnsi="Times New Roman" w:cs="Times New Roman"/>
        </w:rPr>
        <w:t>.</w:t>
      </w:r>
    </w:p>
    <w:p w14:paraId="0651379F"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La implementación de medidas que impulsen emprendimientos y </w:t>
      </w:r>
      <w:proofErr w:type="spellStart"/>
      <w:r>
        <w:rPr>
          <w:rFonts w:ascii="Times New Roman" w:eastAsia="Times New Roman" w:hAnsi="Times New Roman" w:cs="Times New Roman"/>
        </w:rPr>
        <w:t>mipymes</w:t>
      </w:r>
      <w:proofErr w:type="spellEnd"/>
      <w:r>
        <w:rPr>
          <w:rFonts w:ascii="Times New Roman" w:eastAsia="Times New Roman" w:hAnsi="Times New Roman" w:cs="Times New Roman"/>
        </w:rPr>
        <w:t xml:space="preserve"> pertenecientes al sector de protección y bienestar animal es de gran pertinencia en el presente momento debido al amplio campo de oportunidades que abre la creciente demanda de este tipo de bienes y servicios, pues la inversión en incentivos, encadenamientos productivos, capacitación e innovación del sector y </w:t>
      </w:r>
      <w:proofErr w:type="spellStart"/>
      <w:r>
        <w:rPr>
          <w:rFonts w:ascii="Times New Roman" w:eastAsia="Times New Roman" w:hAnsi="Times New Roman" w:cs="Times New Roman"/>
        </w:rPr>
        <w:t>clusterización</w:t>
      </w:r>
      <w:proofErr w:type="spellEnd"/>
      <w:r>
        <w:rPr>
          <w:rFonts w:ascii="Times New Roman" w:eastAsia="Times New Roman" w:hAnsi="Times New Roman" w:cs="Times New Roman"/>
        </w:rPr>
        <w:t xml:space="preserve"> de los comercios generaría mayor crecimiento económico a nivel local lo que a su vez deriva en la formación de más empresas y empleos en todos los niveles de producción del sector.</w:t>
      </w:r>
    </w:p>
    <w:p w14:paraId="74CF80F6"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De igual manera, dentro de los beneficios de potenciar este sector se encuentra también la posibilidad de promover en la población bogotana las buenas prácticas, cuidados y derechos de los animales de compañía, al aumentar la diversidad de servicios especializados que priorizan y ofrecen diferentes opciones para el bienestar animal. </w:t>
      </w:r>
    </w:p>
    <w:p w14:paraId="57935208" w14:textId="77777777" w:rsidR="00E63642" w:rsidRDefault="00BC177F">
      <w:pPr>
        <w:numPr>
          <w:ilvl w:val="0"/>
          <w:numId w:val="2"/>
        </w:numPr>
        <w:spacing w:after="160" w:line="276" w:lineRule="auto"/>
        <w:ind w:left="283" w:hanging="283"/>
        <w:jc w:val="center"/>
        <w:rPr>
          <w:rFonts w:ascii="Times New Roman" w:eastAsia="Times New Roman" w:hAnsi="Times New Roman" w:cs="Times New Roman"/>
          <w:b/>
          <w:bCs/>
        </w:rPr>
      </w:pPr>
      <w:r>
        <w:rPr>
          <w:rFonts w:ascii="Times New Roman" w:eastAsia="Times New Roman" w:hAnsi="Times New Roman" w:cs="Times New Roman"/>
          <w:b/>
          <w:bCs/>
        </w:rPr>
        <w:t>RELACIÓN DE LA INICIATIVA CON LOS OBJETIVOS DE DESARROLLO SOSTENIBLE (ODS)</w:t>
      </w:r>
    </w:p>
    <w:p w14:paraId="49BECFB4"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Este Proyecto de Acuerdo tiene relación significativa con varios de los Objetivos de Desarrollo Sostenible (ODS)</w:t>
      </w:r>
      <w:r>
        <w:rPr>
          <w:rFonts w:ascii="Times New Roman" w:eastAsia="Times New Roman" w:hAnsi="Times New Roman" w:cs="Times New Roman"/>
          <w:vertAlign w:val="superscript"/>
        </w:rPr>
        <w:footnoteReference w:id="37"/>
      </w:r>
      <w:r>
        <w:rPr>
          <w:rFonts w:ascii="Times New Roman" w:eastAsia="Times New Roman" w:hAnsi="Times New Roman" w:cs="Times New Roman"/>
        </w:rPr>
        <w:t>, ya que toca aspectos de bienestar animal, desarrollo económico y sostenibilidad. A continuación la relación con cada uno de los ODS identificados:</w:t>
      </w:r>
    </w:p>
    <w:p w14:paraId="3832FB37" w14:textId="77777777" w:rsidR="00E63642" w:rsidRDefault="00BC177F">
      <w:pPr>
        <w:spacing w:after="160" w:line="276" w:lineRule="auto"/>
        <w:jc w:val="both"/>
        <w:rPr>
          <w:rFonts w:ascii="Times New Roman" w:eastAsia="Times New Roman" w:hAnsi="Times New Roman" w:cs="Times New Roman"/>
          <w:b/>
          <w:bCs/>
        </w:rPr>
      </w:pPr>
      <w:r>
        <w:rPr>
          <w:rFonts w:ascii="Times New Roman" w:eastAsia="Times New Roman" w:hAnsi="Times New Roman" w:cs="Times New Roman"/>
          <w:b/>
          <w:bCs/>
        </w:rPr>
        <w:t>Fin de la pobreza:</w:t>
      </w:r>
      <w:r>
        <w:rPr>
          <w:noProof/>
          <w:lang w:val="es-CO"/>
        </w:rPr>
        <w:drawing>
          <wp:anchor distT="0" distB="0" distL="0" distR="0" simplePos="0" relativeHeight="251659264" behindDoc="1" locked="0" layoutInCell="1" hidden="0" allowOverlap="1" wp14:anchorId="1BCD5521" wp14:editId="2F478305">
            <wp:simplePos x="0" y="0"/>
            <wp:positionH relativeFrom="column">
              <wp:posOffset>1</wp:posOffset>
            </wp:positionH>
            <wp:positionV relativeFrom="paragraph">
              <wp:posOffset>285542</wp:posOffset>
            </wp:positionV>
            <wp:extent cx="1105987" cy="1072675"/>
            <wp:effectExtent l="0" t="0" r="0" b="0"/>
            <wp:wrapNone/>
            <wp:docPr id="179886254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1105987" cy="1072675"/>
                    </a:xfrm>
                    <a:prstGeom prst="rect">
                      <a:avLst/>
                    </a:prstGeom>
                    <a:ln/>
                  </pic:spPr>
                </pic:pic>
              </a:graphicData>
            </a:graphic>
          </wp:anchor>
        </w:drawing>
      </w:r>
    </w:p>
    <w:p w14:paraId="16DC4A1F" w14:textId="77777777" w:rsidR="00E63642" w:rsidRDefault="00BC177F">
      <w:pPr>
        <w:spacing w:after="160" w:line="276" w:lineRule="auto"/>
        <w:ind w:left="1842"/>
        <w:jc w:val="both"/>
        <w:rPr>
          <w:rFonts w:ascii="Times New Roman" w:eastAsia="Times New Roman" w:hAnsi="Times New Roman" w:cs="Times New Roman"/>
        </w:rPr>
      </w:pPr>
      <w:r>
        <w:rPr>
          <w:rFonts w:ascii="Times New Roman" w:eastAsia="Times New Roman" w:hAnsi="Times New Roman" w:cs="Times New Roman"/>
        </w:rPr>
        <w:t xml:space="preserve">El apoyo a los Clúster animalistas y al sector de bienes y servicios para animales, puede generar empleo y oportunidades económicas a las diferentes MIPYMES que participan en la cadena de valor (como </w:t>
      </w:r>
      <w:r>
        <w:rPr>
          <w:rFonts w:ascii="Times New Roman" w:eastAsia="Times New Roman" w:hAnsi="Times New Roman" w:cs="Times New Roman"/>
        </w:rPr>
        <w:lastRenderedPageBreak/>
        <w:t>productores, proveedores de servicios, trabajadores en tiendas de animales, etc.), fomentando la inclusión económica y la reducción de la pobreza.</w:t>
      </w:r>
    </w:p>
    <w:p w14:paraId="1C143246"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b/>
          <w:bCs/>
        </w:rPr>
        <w:t>Salud y bienestar:</w:t>
      </w:r>
      <w:r>
        <w:rPr>
          <w:noProof/>
          <w:lang w:val="es-CO"/>
        </w:rPr>
        <w:drawing>
          <wp:anchor distT="0" distB="0" distL="0" distR="0" simplePos="0" relativeHeight="251660288" behindDoc="1" locked="0" layoutInCell="1" hidden="0" allowOverlap="1" wp14:anchorId="657A1AD9" wp14:editId="1864F457">
            <wp:simplePos x="0" y="0"/>
            <wp:positionH relativeFrom="column">
              <wp:posOffset>-28573</wp:posOffset>
            </wp:positionH>
            <wp:positionV relativeFrom="paragraph">
              <wp:posOffset>276017</wp:posOffset>
            </wp:positionV>
            <wp:extent cx="1130940" cy="1123915"/>
            <wp:effectExtent l="0" t="0" r="0" b="0"/>
            <wp:wrapNone/>
            <wp:docPr id="179886254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1130940" cy="1123915"/>
                    </a:xfrm>
                    <a:prstGeom prst="rect">
                      <a:avLst/>
                    </a:prstGeom>
                    <a:ln/>
                  </pic:spPr>
                </pic:pic>
              </a:graphicData>
            </a:graphic>
          </wp:anchor>
        </w:drawing>
      </w:r>
    </w:p>
    <w:p w14:paraId="4DD964F2" w14:textId="77777777" w:rsidR="00E63642" w:rsidRDefault="00BC177F">
      <w:pPr>
        <w:spacing w:after="160" w:line="276" w:lineRule="auto"/>
        <w:ind w:left="1842"/>
        <w:jc w:val="both"/>
        <w:rPr>
          <w:rFonts w:ascii="Times New Roman" w:eastAsia="Times New Roman" w:hAnsi="Times New Roman" w:cs="Times New Roman"/>
        </w:rPr>
      </w:pPr>
      <w:r>
        <w:rPr>
          <w:rFonts w:ascii="Times New Roman" w:eastAsia="Times New Roman" w:hAnsi="Times New Roman" w:cs="Times New Roman"/>
        </w:rPr>
        <w:t xml:space="preserve">El cuidado adecuado de los animales domésticos reduce la transmisión de enfermedades que se transfieren entre animales y humanos, mejora la salud pública y promueve un entorno más saludable. </w:t>
      </w:r>
    </w:p>
    <w:p w14:paraId="280276A0" w14:textId="77777777" w:rsidR="00E63642" w:rsidRDefault="00E63642">
      <w:pPr>
        <w:spacing w:after="160" w:line="276" w:lineRule="auto"/>
        <w:jc w:val="both"/>
        <w:rPr>
          <w:rFonts w:ascii="Times New Roman" w:eastAsia="Times New Roman" w:hAnsi="Times New Roman" w:cs="Times New Roman"/>
        </w:rPr>
      </w:pPr>
    </w:p>
    <w:p w14:paraId="018DA262" w14:textId="77777777" w:rsidR="00E63642" w:rsidRDefault="00E63642">
      <w:pPr>
        <w:spacing w:after="160" w:line="276" w:lineRule="auto"/>
        <w:jc w:val="both"/>
        <w:rPr>
          <w:rFonts w:ascii="Times New Roman" w:eastAsia="Times New Roman" w:hAnsi="Times New Roman" w:cs="Times New Roman"/>
        </w:rPr>
      </w:pPr>
    </w:p>
    <w:p w14:paraId="319B3D4E"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b/>
          <w:bCs/>
        </w:rPr>
        <w:t>Trabajo decente y crecimiento económico:</w:t>
      </w:r>
      <w:r>
        <w:rPr>
          <w:noProof/>
          <w:lang w:val="es-CO"/>
        </w:rPr>
        <w:drawing>
          <wp:anchor distT="0" distB="0" distL="0" distR="0" simplePos="0" relativeHeight="251661312" behindDoc="1" locked="0" layoutInCell="1" hidden="0" allowOverlap="1" wp14:anchorId="73FE6A98" wp14:editId="024C43E1">
            <wp:simplePos x="0" y="0"/>
            <wp:positionH relativeFrom="column">
              <wp:posOffset>-57148</wp:posOffset>
            </wp:positionH>
            <wp:positionV relativeFrom="paragraph">
              <wp:posOffset>237917</wp:posOffset>
            </wp:positionV>
            <wp:extent cx="1023122" cy="1031115"/>
            <wp:effectExtent l="0" t="0" r="0" b="0"/>
            <wp:wrapNone/>
            <wp:docPr id="179886254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1023122" cy="1031115"/>
                    </a:xfrm>
                    <a:prstGeom prst="rect">
                      <a:avLst/>
                    </a:prstGeom>
                    <a:ln/>
                  </pic:spPr>
                </pic:pic>
              </a:graphicData>
            </a:graphic>
          </wp:anchor>
        </w:drawing>
      </w:r>
    </w:p>
    <w:p w14:paraId="2B8B998D" w14:textId="77777777" w:rsidR="00E63642" w:rsidRDefault="00BC177F">
      <w:pPr>
        <w:spacing w:after="160" w:line="276" w:lineRule="auto"/>
        <w:ind w:left="1984"/>
        <w:jc w:val="both"/>
        <w:rPr>
          <w:rFonts w:ascii="Times New Roman" w:eastAsia="Times New Roman" w:hAnsi="Times New Roman" w:cs="Times New Roman"/>
        </w:rPr>
      </w:pPr>
      <w:r>
        <w:rPr>
          <w:rFonts w:ascii="Times New Roman" w:eastAsia="Times New Roman" w:hAnsi="Times New Roman" w:cs="Times New Roman"/>
        </w:rPr>
        <w:t>El apoyo a los Clúster animalistas ayuda a formalizar y organizar mejor las empresas relacionadas con los animales domésticos, promoviendo condiciones de trabajo decente, generación de empleo, y crecimiento económico sostenible en Bogotá. Fomenta, además, la innovación en productos y servicios que pueden atraer inversiones y generar nuevas oportunidades de negocio.</w:t>
      </w:r>
    </w:p>
    <w:p w14:paraId="258E8EC1"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b/>
          <w:bCs/>
        </w:rPr>
        <w:t>Vida de ecosistemas terrestres:</w:t>
      </w:r>
      <w:r>
        <w:rPr>
          <w:noProof/>
          <w:lang w:val="es-CO"/>
        </w:rPr>
        <w:drawing>
          <wp:anchor distT="0" distB="0" distL="0" distR="0" simplePos="0" relativeHeight="251662336" behindDoc="1" locked="0" layoutInCell="1" hidden="0" allowOverlap="1" wp14:anchorId="42D4CF8D" wp14:editId="792B32A2">
            <wp:simplePos x="0" y="0"/>
            <wp:positionH relativeFrom="column">
              <wp:posOffset>-28573</wp:posOffset>
            </wp:positionH>
            <wp:positionV relativeFrom="paragraph">
              <wp:posOffset>249355</wp:posOffset>
            </wp:positionV>
            <wp:extent cx="1391455" cy="1348509"/>
            <wp:effectExtent l="0" t="0" r="0" b="0"/>
            <wp:wrapNone/>
            <wp:docPr id="179886254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1391455" cy="1348509"/>
                    </a:xfrm>
                    <a:prstGeom prst="rect">
                      <a:avLst/>
                    </a:prstGeom>
                    <a:ln/>
                  </pic:spPr>
                </pic:pic>
              </a:graphicData>
            </a:graphic>
          </wp:anchor>
        </w:drawing>
      </w:r>
    </w:p>
    <w:p w14:paraId="690739BF" w14:textId="77777777" w:rsidR="00E63642" w:rsidRDefault="00BC177F">
      <w:pPr>
        <w:spacing w:after="160" w:line="276" w:lineRule="auto"/>
        <w:ind w:left="2125"/>
        <w:jc w:val="both"/>
        <w:rPr>
          <w:rFonts w:ascii="Times New Roman" w:eastAsia="Times New Roman" w:hAnsi="Times New Roman" w:cs="Times New Roman"/>
        </w:rPr>
      </w:pPr>
      <w:r>
        <w:rPr>
          <w:rFonts w:ascii="Times New Roman" w:eastAsia="Times New Roman" w:hAnsi="Times New Roman" w:cs="Times New Roman"/>
        </w:rPr>
        <w:t xml:space="preserve">La protección y el bienestar de los animales domésticos también contribuyen a la conservación de la </w:t>
      </w:r>
      <w:proofErr w:type="gramStart"/>
      <w:r>
        <w:rPr>
          <w:rFonts w:ascii="Times New Roman" w:eastAsia="Times New Roman" w:hAnsi="Times New Roman" w:cs="Times New Roman"/>
        </w:rPr>
        <w:t>biodiversidad..</w:t>
      </w:r>
      <w:proofErr w:type="gramEnd"/>
      <w:r>
        <w:rPr>
          <w:rFonts w:ascii="Times New Roman" w:eastAsia="Times New Roman" w:hAnsi="Times New Roman" w:cs="Times New Roman"/>
        </w:rPr>
        <w:t xml:space="preserve"> También, un enfoque en el bienestar animal contribuye al manejo adecuado de los ecosistemas urbanos.</w:t>
      </w:r>
    </w:p>
    <w:p w14:paraId="553F3C59" w14:textId="77777777" w:rsidR="00E63642" w:rsidRDefault="00E63642">
      <w:pPr>
        <w:spacing w:after="160" w:line="276" w:lineRule="auto"/>
        <w:jc w:val="both"/>
        <w:rPr>
          <w:rFonts w:ascii="Times New Roman" w:eastAsia="Times New Roman" w:hAnsi="Times New Roman" w:cs="Times New Roman"/>
        </w:rPr>
      </w:pPr>
    </w:p>
    <w:p w14:paraId="75FB1053" w14:textId="77777777" w:rsidR="00E63642" w:rsidRDefault="00E63642">
      <w:pPr>
        <w:spacing w:after="160" w:line="276" w:lineRule="auto"/>
        <w:jc w:val="both"/>
        <w:rPr>
          <w:rFonts w:ascii="Times New Roman" w:eastAsia="Times New Roman" w:hAnsi="Times New Roman" w:cs="Times New Roman"/>
        </w:rPr>
      </w:pPr>
    </w:p>
    <w:p w14:paraId="3BAE32DE"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En consecuencia, este Proyecto de Acuerdo tiene un impacto transversal en varios ODS al generar empleo, fomentar el bienestar animal y humano, promover la innovación, y garantizar que el desarrollo económico y la producción sean sostenibles. </w:t>
      </w:r>
    </w:p>
    <w:p w14:paraId="24E24C16" w14:textId="77777777" w:rsidR="00E63642" w:rsidRDefault="00E63642">
      <w:pPr>
        <w:spacing w:after="160" w:line="276" w:lineRule="auto"/>
        <w:jc w:val="both"/>
        <w:rPr>
          <w:rFonts w:ascii="Times New Roman" w:eastAsia="Times New Roman" w:hAnsi="Times New Roman" w:cs="Times New Roman"/>
        </w:rPr>
      </w:pPr>
    </w:p>
    <w:p w14:paraId="188DAEE1" w14:textId="77777777" w:rsidR="00E63642" w:rsidRDefault="00BC177F">
      <w:pPr>
        <w:numPr>
          <w:ilvl w:val="0"/>
          <w:numId w:val="2"/>
        </w:numPr>
        <w:spacing w:after="160" w:line="276" w:lineRule="auto"/>
        <w:ind w:left="283"/>
        <w:jc w:val="center"/>
        <w:rPr>
          <w:rFonts w:ascii="Times New Roman" w:eastAsia="Times New Roman" w:hAnsi="Times New Roman" w:cs="Times New Roman"/>
          <w:b/>
          <w:bCs/>
        </w:rPr>
      </w:pPr>
      <w:r>
        <w:rPr>
          <w:rFonts w:ascii="Times New Roman" w:eastAsia="Times New Roman" w:hAnsi="Times New Roman" w:cs="Times New Roman"/>
          <w:b/>
          <w:bCs/>
        </w:rPr>
        <w:lastRenderedPageBreak/>
        <w:t>RELACIÓN DE LA INICIATIVA CON EL PLAN DISTRITAL DE DESARROLLO “BOGOTÁ CAMINA SEGURA 2024 - 2027”</w:t>
      </w:r>
    </w:p>
    <w:p w14:paraId="0E7A9AC6" w14:textId="0EEED93F"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Si bien el Plan Distrital de Desarrollo ‘Bogotá Camina Segura’ 2024 - 2027 tiene varios elementos que pueden ser de utilidad para articular e impulsar esta iniciativa normativa. Un ejemplo de </w:t>
      </w:r>
      <w:r w:rsidR="00B420D1">
        <w:rPr>
          <w:rFonts w:ascii="Times New Roman" w:eastAsia="Times New Roman" w:hAnsi="Times New Roman" w:cs="Times New Roman"/>
        </w:rPr>
        <w:t>ello, es</w:t>
      </w:r>
      <w:r>
        <w:rPr>
          <w:rFonts w:ascii="Times New Roman" w:eastAsia="Times New Roman" w:hAnsi="Times New Roman" w:cs="Times New Roman"/>
        </w:rPr>
        <w:t xml:space="preserve"> el apoyo e impulso a los </w:t>
      </w:r>
      <w:proofErr w:type="gramStart"/>
      <w:r>
        <w:rPr>
          <w:rFonts w:ascii="Times New Roman" w:eastAsia="Times New Roman" w:hAnsi="Times New Roman" w:cs="Times New Roman"/>
        </w:rPr>
        <w:t>diferentes emprendimiento</w:t>
      </w:r>
      <w:proofErr w:type="gramEnd"/>
      <w:r>
        <w:rPr>
          <w:rFonts w:ascii="Times New Roman" w:eastAsia="Times New Roman" w:hAnsi="Times New Roman" w:cs="Times New Roman"/>
        </w:rPr>
        <w:t xml:space="preserve"> y MIPYMES de la ciudad. </w:t>
      </w:r>
    </w:p>
    <w:p w14:paraId="109057C7" w14:textId="3426C058"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En el artículo 9 sobre el propósito del objetivo estratégico ‘Bogotá confía en su bien-estar’ se habla de un esfuerzo conjunto entre la ciudadanía, las familias, el sector privado, la </w:t>
      </w:r>
      <w:r w:rsidR="00B420D1">
        <w:rPr>
          <w:rFonts w:ascii="Times New Roman" w:eastAsia="Times New Roman" w:hAnsi="Times New Roman" w:cs="Times New Roman"/>
        </w:rPr>
        <w:t>academia</w:t>
      </w:r>
      <w:r>
        <w:rPr>
          <w:rFonts w:ascii="Times New Roman" w:eastAsia="Times New Roman" w:hAnsi="Times New Roman" w:cs="Times New Roman"/>
        </w:rPr>
        <w:t>, las organizaciones de la cooperación y el Estado</w:t>
      </w:r>
      <w:r>
        <w:rPr>
          <w:rFonts w:ascii="Times New Roman" w:eastAsia="Times New Roman" w:hAnsi="Times New Roman" w:cs="Times New Roman"/>
          <w:vertAlign w:val="superscript"/>
        </w:rPr>
        <w:footnoteReference w:id="38"/>
      </w:r>
      <w:r>
        <w:rPr>
          <w:rFonts w:ascii="Times New Roman" w:eastAsia="Times New Roman" w:hAnsi="Times New Roman" w:cs="Times New Roman"/>
        </w:rPr>
        <w:t>. Es decir, que reconoce el sector privado como uno clave y protagonista en la búsqueda de las metas como ciudad en el próximo cuatrienio. Adicionalmente, en el mismo artículo, afirma qué una de las principales apuestas para el presente cuatrienio, es enfocarse en la protección de los animales en la ciudad.</w:t>
      </w:r>
    </w:p>
    <w:p w14:paraId="0C842977"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Así mismo, el programa 15 “</w:t>
      </w:r>
      <w:r>
        <w:rPr>
          <w:rFonts w:ascii="Times New Roman" w:eastAsia="Times New Roman" w:hAnsi="Times New Roman" w:cs="Times New Roman"/>
          <w:i/>
          <w:iCs/>
        </w:rPr>
        <w:t>Bogotá protege la vida animal</w:t>
      </w:r>
      <w:r>
        <w:rPr>
          <w:rFonts w:ascii="Times New Roman" w:eastAsia="Times New Roman" w:hAnsi="Times New Roman" w:cs="Times New Roman"/>
        </w:rPr>
        <w:t>” tiene como objetivo promover en la ciudadanía un vínculo basado en el respeto y cuidado hacia todas las formas de vida, sus hábitats y su forma de moverse en la ciudad. Adicionalmente, la  Administración Distrital en cabeza del IDPYBA y alcaldías locales, se obligan a  trabajar conjuntamente para la prevención y atención del maltrato y la crueldad animal.</w:t>
      </w:r>
    </w:p>
    <w:p w14:paraId="4537683D" w14:textId="77777777" w:rsidR="00E63642" w:rsidRDefault="00BC177F">
      <w:pPr>
        <w:spacing w:after="160" w:line="276" w:lineRule="auto"/>
        <w:jc w:val="both"/>
        <w:rPr>
          <w:color w:val="333333"/>
        </w:rPr>
      </w:pPr>
      <w:r>
        <w:rPr>
          <w:rFonts w:ascii="Times New Roman" w:eastAsia="Times New Roman" w:hAnsi="Times New Roman" w:cs="Times New Roman"/>
        </w:rPr>
        <w:t>Por otro lado, el artículo 59 “</w:t>
      </w:r>
      <w:r>
        <w:rPr>
          <w:rFonts w:ascii="Times New Roman" w:eastAsia="Times New Roman" w:hAnsi="Times New Roman" w:cs="Times New Roman"/>
          <w:i/>
          <w:iCs/>
        </w:rPr>
        <w:t>Fortalecimiento de las capacidades para el bienestar de los animales</w:t>
      </w:r>
      <w:r>
        <w:rPr>
          <w:rFonts w:ascii="Times New Roman" w:eastAsia="Times New Roman" w:hAnsi="Times New Roman" w:cs="Times New Roman"/>
        </w:rPr>
        <w:t xml:space="preserve">” tiene como propósito fortalecer el escuadrón </w:t>
      </w:r>
      <w:proofErr w:type="spellStart"/>
      <w:r>
        <w:rPr>
          <w:rFonts w:ascii="Times New Roman" w:eastAsia="Times New Roman" w:hAnsi="Times New Roman" w:cs="Times New Roman"/>
        </w:rPr>
        <w:t>anticrueldad</w:t>
      </w:r>
      <w:proofErr w:type="spellEnd"/>
      <w:r>
        <w:rPr>
          <w:rFonts w:ascii="Times New Roman" w:eastAsia="Times New Roman" w:hAnsi="Times New Roman" w:cs="Times New Roman"/>
        </w:rPr>
        <w:t>, las brigadas médicas, urgencias veterinarias y el centro de atención jurídica PYBA. Así como, apostarle al fortalecimiento e  integración de sistemas de información para la gestión y análisis de la información y la realización de investigaciones estratégicas.</w:t>
      </w:r>
    </w:p>
    <w:p w14:paraId="79A6B3DD" w14:textId="77777777" w:rsidR="00E63642" w:rsidRDefault="00BC177F">
      <w:pPr>
        <w:spacing w:line="276" w:lineRule="auto"/>
        <w:jc w:val="both"/>
        <w:rPr>
          <w:rFonts w:ascii="Times New Roman" w:eastAsia="Times New Roman" w:hAnsi="Times New Roman" w:cs="Times New Roman"/>
        </w:rPr>
      </w:pPr>
      <w:r>
        <w:rPr>
          <w:rFonts w:ascii="Times New Roman" w:eastAsia="Times New Roman" w:hAnsi="Times New Roman" w:cs="Times New Roman"/>
        </w:rPr>
        <w:t>Y con relación al factor económico de esta iniciativa normativa, en el mismo artículo 59, su parágrafo 2 menciona que:</w:t>
      </w:r>
      <w:r>
        <w:rPr>
          <w:color w:val="333333"/>
        </w:rPr>
        <w:br/>
      </w:r>
      <w:r>
        <w:rPr>
          <w:rFonts w:ascii="Times New Roman" w:eastAsia="Times New Roman" w:hAnsi="Times New Roman" w:cs="Times New Roman"/>
          <w:i/>
          <w:iCs/>
        </w:rPr>
        <w:t xml:space="preserve">“(...) La Administración Distrital, coordinará a través de los sectores de desarrollo económico, educación, ambiente y quienes se considere, el diseño de una estrategia de apoyo </w:t>
      </w:r>
      <w:r>
        <w:rPr>
          <w:rFonts w:ascii="Times New Roman" w:eastAsia="Times New Roman" w:hAnsi="Times New Roman" w:cs="Times New Roman"/>
          <w:i/>
          <w:iCs/>
        </w:rPr>
        <w:lastRenderedPageBreak/>
        <w:t>e inclusión a hogares de paso, cuidadoras y cuidadores que garanticen la protección y el bienestar animal en articulación con los Fondos de Desarrollo Local y entidades distritales.”</w:t>
      </w:r>
    </w:p>
    <w:p w14:paraId="0B4F1EF9"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En línea con lo anteriormente mencionado, en el objetivo estratégico ‘Bogotá Confía en su Potencial’ se establece el programa 19 que habla del desarrollo empresarial, productividad y empleo en el que explícitamente se permite la entrega de asistencia técnica y financiera a los emprendimientos para su fortalecimiento, especialmente en los sectores de servicios, comercio, agro, cultura, deporte y turismo </w:t>
      </w:r>
      <w:r>
        <w:rPr>
          <w:rFonts w:ascii="Times New Roman" w:eastAsia="Times New Roman" w:hAnsi="Times New Roman" w:cs="Times New Roman"/>
          <w:vertAlign w:val="superscript"/>
        </w:rPr>
        <w:t>23</w:t>
      </w:r>
      <w:r>
        <w:rPr>
          <w:rFonts w:ascii="Times New Roman" w:eastAsia="Times New Roman" w:hAnsi="Times New Roman" w:cs="Times New Roman"/>
        </w:rPr>
        <w:t>.</w:t>
      </w:r>
    </w:p>
    <w:p w14:paraId="7563E955" w14:textId="77777777" w:rsidR="00E63642" w:rsidRDefault="00E63642">
      <w:pPr>
        <w:spacing w:after="160" w:line="276" w:lineRule="auto"/>
        <w:jc w:val="both"/>
        <w:rPr>
          <w:rFonts w:ascii="Times New Roman" w:eastAsia="Times New Roman" w:hAnsi="Times New Roman" w:cs="Times New Roman"/>
        </w:rPr>
      </w:pPr>
    </w:p>
    <w:p w14:paraId="14FB4889" w14:textId="77777777" w:rsidR="00E63642" w:rsidRDefault="00BC177F">
      <w:pPr>
        <w:numPr>
          <w:ilvl w:val="0"/>
          <w:numId w:val="2"/>
        </w:numPr>
        <w:spacing w:line="276" w:lineRule="auto"/>
        <w:ind w:left="425"/>
        <w:jc w:val="center"/>
        <w:rPr>
          <w:rFonts w:ascii="Times New Roman" w:eastAsia="Times New Roman" w:hAnsi="Times New Roman" w:cs="Times New Roman"/>
          <w:b/>
          <w:bCs/>
        </w:rPr>
      </w:pPr>
      <w:r>
        <w:rPr>
          <w:rFonts w:ascii="Times New Roman" w:eastAsia="Times New Roman" w:hAnsi="Times New Roman" w:cs="Times New Roman"/>
          <w:b/>
          <w:bCs/>
        </w:rPr>
        <w:t>ANÁLISIS JURÍDICO DE LA INICIATIVA</w:t>
      </w:r>
    </w:p>
    <w:p w14:paraId="071A5D8E" w14:textId="77777777"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A continuación, se relacionan las normas jurídicas que sustentan la presente iniciativa, las cuales regulan materias relacionadas con el emprendimiento, así como el bienestar y la protección animal. Ante ello, se sintetizan los instrumentos internacionales, así como las normas constitucionales, legales y reglamentarias que fundamentan este Proyecto de Acuerdo.</w:t>
      </w:r>
    </w:p>
    <w:p w14:paraId="1983C364" w14:textId="77777777" w:rsidR="00E63642" w:rsidRDefault="00E63642">
      <w:pPr>
        <w:spacing w:before="240" w:after="240" w:line="276" w:lineRule="auto"/>
        <w:jc w:val="both"/>
        <w:rPr>
          <w:rFonts w:ascii="Times New Roman" w:eastAsia="Times New Roman" w:hAnsi="Times New Roman" w:cs="Times New Roman"/>
        </w:rPr>
      </w:pPr>
    </w:p>
    <w:p w14:paraId="6EEB8CA5" w14:textId="77777777" w:rsidR="00E63642" w:rsidRDefault="00BC177F">
      <w:pPr>
        <w:spacing w:before="240" w:after="240" w:line="276" w:lineRule="auto"/>
        <w:jc w:val="both"/>
        <w:rPr>
          <w:rFonts w:ascii="Times New Roman" w:eastAsia="Times New Roman" w:hAnsi="Times New Roman" w:cs="Times New Roman"/>
          <w:b/>
          <w:bCs/>
        </w:rPr>
      </w:pPr>
      <w:r>
        <w:rPr>
          <w:rFonts w:ascii="Times New Roman" w:eastAsia="Times New Roman" w:hAnsi="Times New Roman" w:cs="Times New Roman"/>
          <w:b/>
          <w:bCs/>
        </w:rPr>
        <w:t>5.1. Instrumentos internacionales</w:t>
      </w:r>
    </w:p>
    <w:p w14:paraId="5D7F946B" w14:textId="77777777"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El Pacto Internacional de Derechos Económicos, Sociales y Culturales (PIDESC) (1966), aprobado mediante la Ley 74 de 1968, establece en su artículo 6 el derecho al trabajo, lo cual respalda el emprendimiento como medio para garantizar el derecho a un empleo digno y a la libertad económica (Asamblea General de las Naciones Unidas, 1966)</w:t>
      </w:r>
      <w:r>
        <w:rPr>
          <w:rFonts w:ascii="Times New Roman" w:eastAsia="Times New Roman" w:hAnsi="Times New Roman" w:cs="Times New Roman"/>
          <w:vertAlign w:val="superscript"/>
        </w:rPr>
        <w:footnoteReference w:id="39"/>
      </w:r>
      <w:r>
        <w:rPr>
          <w:rFonts w:ascii="Times New Roman" w:eastAsia="Times New Roman" w:hAnsi="Times New Roman" w:cs="Times New Roman"/>
        </w:rPr>
        <w:t>.</w:t>
      </w:r>
    </w:p>
    <w:p w14:paraId="026DBE18" w14:textId="77777777" w:rsidR="00E63642" w:rsidRDefault="00BC177F">
      <w:pPr>
        <w:spacing w:before="240" w:after="240" w:line="276" w:lineRule="auto"/>
        <w:ind w:left="72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iCs/>
        </w:rPr>
        <w:t>Artículo 6.1. Los Estados Partes en el presente Pacto reconocen el derecho a trabajar, que comprende el derecho de toda persona a ganarse la vida mediante un trabajo libremente escogido o aceptado, y tomarán medidas adecuadas para salvaguardar este derecho</w:t>
      </w:r>
      <w:r>
        <w:rPr>
          <w:rFonts w:ascii="Times New Roman" w:eastAsia="Times New Roman" w:hAnsi="Times New Roman" w:cs="Times New Roman"/>
        </w:rPr>
        <w:t>” (Asamblea General de las Naciones Unidas, 1966)</w:t>
      </w:r>
      <w:r>
        <w:rPr>
          <w:rFonts w:ascii="Times New Roman" w:eastAsia="Times New Roman" w:hAnsi="Times New Roman" w:cs="Times New Roman"/>
          <w:vertAlign w:val="superscript"/>
        </w:rPr>
        <w:footnoteReference w:id="40"/>
      </w:r>
      <w:r>
        <w:rPr>
          <w:rFonts w:ascii="Times New Roman" w:eastAsia="Times New Roman" w:hAnsi="Times New Roman" w:cs="Times New Roman"/>
        </w:rPr>
        <w:t>.</w:t>
      </w:r>
    </w:p>
    <w:p w14:paraId="47223D70" w14:textId="77777777"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La Convención Americana sobre Derechos Humanos (CADH) (1969), aprobada mediante la Ley 16 de 1972, consagra en su artículo 26 el derecho que tienen todas las personas al desarrollo como un derecho económico, así:</w:t>
      </w:r>
    </w:p>
    <w:p w14:paraId="079BDDAA" w14:textId="77777777" w:rsidR="00E63642" w:rsidRDefault="00BC177F">
      <w:pPr>
        <w:spacing w:before="240" w:after="240" w:line="276" w:lineRule="auto"/>
        <w:ind w:left="566"/>
        <w:jc w:val="both"/>
        <w:rPr>
          <w:rFonts w:ascii="Times New Roman" w:eastAsia="Times New Roman" w:hAnsi="Times New Roman" w:cs="Times New Roman"/>
          <w:b/>
          <w:bCs/>
        </w:rPr>
      </w:pPr>
      <w:r>
        <w:rPr>
          <w:rFonts w:ascii="Times New Roman" w:eastAsia="Times New Roman" w:hAnsi="Times New Roman" w:cs="Times New Roman"/>
          <w:i/>
          <w:iCs/>
        </w:rPr>
        <w:t>“Artículo 26. Desarrollo Progresivo Los Estados partes se comprometen a adoptar providencias, tanto a nivel interno como mediante la cooperación internacional, especialmente económica y técnica, para lograr progresivamente la plena efectividad de los derechos que se derivan de las normas económicas, sociales y sobre educación, ciencia y cultura, contenidas en la Carta de la Organización de los Estados Americanos, reformada por el Protocolo de Buenos Aires, en la medida de los recursos disponibles, por vía legislativa u otros medios apropiados</w:t>
      </w:r>
      <w:r>
        <w:rPr>
          <w:rFonts w:ascii="Times New Roman" w:eastAsia="Times New Roman" w:hAnsi="Times New Roman" w:cs="Times New Roman"/>
        </w:rPr>
        <w:t>”</w:t>
      </w:r>
      <w:r>
        <w:rPr>
          <w:rFonts w:ascii="Times New Roman" w:eastAsia="Times New Roman" w:hAnsi="Times New Roman" w:cs="Times New Roman"/>
          <w:vertAlign w:val="superscript"/>
        </w:rPr>
        <w:footnoteReference w:id="41"/>
      </w:r>
      <w:r>
        <w:rPr>
          <w:rFonts w:ascii="Times New Roman" w:eastAsia="Times New Roman" w:hAnsi="Times New Roman" w:cs="Times New Roman"/>
        </w:rPr>
        <w:t xml:space="preserve">. </w:t>
      </w:r>
    </w:p>
    <w:p w14:paraId="0193836D" w14:textId="77777777"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La Organización de Naciones Unidas (ONU), aprobó en junio de 2000, la Declaración sobre “</w:t>
      </w:r>
      <w:r>
        <w:rPr>
          <w:rFonts w:ascii="Times New Roman" w:eastAsia="Times New Roman" w:hAnsi="Times New Roman" w:cs="Times New Roman"/>
          <w:i/>
          <w:iCs/>
        </w:rPr>
        <w:t>El Bienestar de los Animales</w:t>
      </w:r>
      <w:r>
        <w:rPr>
          <w:rFonts w:ascii="Times New Roman" w:eastAsia="Times New Roman" w:hAnsi="Times New Roman" w:cs="Times New Roman"/>
        </w:rPr>
        <w:t>”, en la cual insta a los Estados Miembros:</w:t>
      </w:r>
    </w:p>
    <w:p w14:paraId="132596B6" w14:textId="77777777" w:rsidR="00E63642" w:rsidRDefault="00BC177F">
      <w:pPr>
        <w:spacing w:before="240" w:after="240" w:line="276" w:lineRule="auto"/>
        <w:ind w:left="566"/>
        <w:jc w:val="both"/>
        <w:rPr>
          <w:rFonts w:ascii="Times New Roman" w:eastAsia="Times New Roman" w:hAnsi="Times New Roman" w:cs="Times New Roman"/>
          <w:i/>
          <w:iCs/>
        </w:rPr>
      </w:pPr>
      <w:r>
        <w:rPr>
          <w:rFonts w:ascii="Times New Roman" w:eastAsia="Times New Roman" w:hAnsi="Times New Roman" w:cs="Times New Roman"/>
          <w:i/>
          <w:iCs/>
        </w:rPr>
        <w:t>“</w:t>
      </w:r>
      <w:r>
        <w:rPr>
          <w:rFonts w:ascii="Times New Roman" w:eastAsia="Times New Roman" w:hAnsi="Times New Roman" w:cs="Times New Roman"/>
          <w:i/>
          <w:iCs/>
          <w:color w:val="040C28"/>
        </w:rPr>
        <w:t>[A]</w:t>
      </w:r>
      <w:r>
        <w:rPr>
          <w:rFonts w:ascii="Times New Roman" w:eastAsia="Times New Roman" w:hAnsi="Times New Roman" w:cs="Times New Roman"/>
          <w:i/>
          <w:iCs/>
        </w:rPr>
        <w:t xml:space="preserve"> Reconocer que los animales son seres vivientes, sensibles y que, por consiguiente, merecen una especial consideración y respeto.</w:t>
      </w:r>
    </w:p>
    <w:p w14:paraId="24137ABE" w14:textId="77777777" w:rsidR="00E63642" w:rsidRDefault="00BC177F">
      <w:pPr>
        <w:spacing w:before="240" w:after="240" w:line="276" w:lineRule="auto"/>
        <w:ind w:left="566"/>
        <w:jc w:val="both"/>
        <w:rPr>
          <w:rFonts w:ascii="Times New Roman" w:eastAsia="Times New Roman" w:hAnsi="Times New Roman" w:cs="Times New Roman"/>
          <w:i/>
          <w:iCs/>
        </w:rPr>
      </w:pPr>
      <w:r>
        <w:rPr>
          <w:rFonts w:ascii="Times New Roman" w:eastAsia="Times New Roman" w:hAnsi="Times New Roman" w:cs="Times New Roman"/>
          <w:i/>
          <w:iCs/>
        </w:rPr>
        <w:t>Compartir este planeta con otras especies y otras formas de la vida y que todas coexisten dentro de un ecosistema interdependiente.</w:t>
      </w:r>
    </w:p>
    <w:p w14:paraId="1A5899F7" w14:textId="77777777" w:rsidR="00E63642" w:rsidRDefault="00BC177F">
      <w:pPr>
        <w:spacing w:before="240" w:after="240" w:line="276" w:lineRule="auto"/>
        <w:ind w:left="566"/>
        <w:jc w:val="both"/>
        <w:rPr>
          <w:rFonts w:ascii="Times New Roman" w:eastAsia="Times New Roman" w:hAnsi="Times New Roman" w:cs="Times New Roman"/>
          <w:i/>
          <w:iCs/>
        </w:rPr>
      </w:pPr>
      <w:r>
        <w:rPr>
          <w:rFonts w:ascii="Times New Roman" w:eastAsia="Times New Roman" w:hAnsi="Times New Roman" w:cs="Times New Roman"/>
          <w:i/>
          <w:iCs/>
        </w:rPr>
        <w:t>Qué, aunque existen diferencias sociales, económicas y culturales significativas</w:t>
      </w:r>
    </w:p>
    <w:p w14:paraId="541746C6" w14:textId="77777777" w:rsidR="00E63642" w:rsidRDefault="00BC177F">
      <w:pPr>
        <w:spacing w:before="240" w:after="240" w:line="276" w:lineRule="auto"/>
        <w:ind w:left="566"/>
        <w:jc w:val="both"/>
        <w:rPr>
          <w:rFonts w:ascii="Times New Roman" w:eastAsia="Times New Roman" w:hAnsi="Times New Roman" w:cs="Times New Roman"/>
          <w:i/>
          <w:iCs/>
        </w:rPr>
      </w:pPr>
      <w:r>
        <w:rPr>
          <w:rFonts w:ascii="Times New Roman" w:eastAsia="Times New Roman" w:hAnsi="Times New Roman" w:cs="Times New Roman"/>
          <w:i/>
          <w:iCs/>
        </w:rPr>
        <w:t>Qué muchos estados ya tienen un sistema para la protección legal de los animales domésticos y silvestres (...)”</w:t>
      </w:r>
      <w:r>
        <w:rPr>
          <w:rFonts w:ascii="Times New Roman" w:eastAsia="Times New Roman" w:hAnsi="Times New Roman" w:cs="Times New Roman"/>
          <w:i/>
          <w:iCs/>
          <w:vertAlign w:val="superscript"/>
        </w:rPr>
        <w:footnoteReference w:id="42"/>
      </w:r>
      <w:r>
        <w:rPr>
          <w:rFonts w:ascii="Times New Roman" w:eastAsia="Times New Roman" w:hAnsi="Times New Roman" w:cs="Times New Roman"/>
          <w:i/>
          <w:iCs/>
        </w:rPr>
        <w:t>.</w:t>
      </w:r>
    </w:p>
    <w:p w14:paraId="1C02F84E" w14:textId="77777777" w:rsidR="00E63642" w:rsidRDefault="00BC177F">
      <w:pPr>
        <w:pBdr>
          <w:top w:val="nil"/>
          <w:left w:val="nil"/>
          <w:bottom w:val="nil"/>
          <w:right w:val="nil"/>
          <w:between w:val="nil"/>
        </w:pBdr>
        <w:spacing w:before="280" w:after="80" w:line="276" w:lineRule="auto"/>
        <w:jc w:val="both"/>
        <w:rPr>
          <w:rFonts w:ascii="Times New Roman" w:eastAsia="Times New Roman" w:hAnsi="Times New Roman" w:cs="Times New Roman"/>
          <w:b/>
          <w:bCs/>
          <w:i/>
          <w:iCs/>
          <w:color w:val="000000"/>
          <w:sz w:val="28"/>
          <w:szCs w:val="28"/>
        </w:rPr>
      </w:pPr>
      <w:bookmarkStart w:id="3" w:name="_heading=h.j942mj6qgzrc" w:colFirst="0" w:colLast="0"/>
      <w:bookmarkEnd w:id="3"/>
      <w:r>
        <w:rPr>
          <w:rFonts w:ascii="Times New Roman" w:eastAsia="Times New Roman" w:hAnsi="Times New Roman" w:cs="Times New Roman"/>
          <w:color w:val="000000"/>
        </w:rPr>
        <w:t xml:space="preserve">La Convención sobre la Diversidad Biológica, aprobada mediante la ley 165 de 1994, incluye compromisos para la protección de la biodiversidad, lo que abarca tanto a la fauna silvestre </w:t>
      </w:r>
      <w:r>
        <w:rPr>
          <w:rFonts w:ascii="Times New Roman" w:eastAsia="Times New Roman" w:hAnsi="Times New Roman" w:cs="Times New Roman"/>
          <w:color w:val="000000"/>
        </w:rPr>
        <w:lastRenderedPageBreak/>
        <w:t>como a los animales domésticos, con el objetivo de garantizar un desarrollo sostenible que también proteja a los animales</w:t>
      </w:r>
      <w:r>
        <w:rPr>
          <w:rFonts w:ascii="Times New Roman" w:eastAsia="Times New Roman" w:hAnsi="Times New Roman" w:cs="Times New Roman"/>
          <w:color w:val="000000"/>
          <w:vertAlign w:val="superscript"/>
        </w:rPr>
        <w:footnoteReference w:id="43"/>
      </w:r>
      <w:r>
        <w:rPr>
          <w:rFonts w:ascii="Times New Roman" w:eastAsia="Times New Roman" w:hAnsi="Times New Roman" w:cs="Times New Roman"/>
          <w:color w:val="000000"/>
        </w:rPr>
        <w:t>.</w:t>
      </w:r>
    </w:p>
    <w:p w14:paraId="38FC8661" w14:textId="77777777" w:rsidR="00E63642" w:rsidRDefault="00BC177F">
      <w:pPr>
        <w:spacing w:before="240" w:after="240" w:line="276" w:lineRule="auto"/>
        <w:jc w:val="both"/>
        <w:rPr>
          <w:rFonts w:ascii="Times New Roman" w:eastAsia="Times New Roman" w:hAnsi="Times New Roman" w:cs="Times New Roman"/>
          <w:b/>
          <w:bCs/>
        </w:rPr>
      </w:pPr>
      <w:r>
        <w:rPr>
          <w:rFonts w:ascii="Times New Roman" w:eastAsia="Times New Roman" w:hAnsi="Times New Roman" w:cs="Times New Roman"/>
          <w:b/>
          <w:bCs/>
        </w:rPr>
        <w:t>5.2. Constitución Política de Colombia</w:t>
      </w:r>
    </w:p>
    <w:p w14:paraId="4ABBFA00" w14:textId="77777777"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La Constitución Política de Colombia de 1991 adopta el modelo de Estado Social de Derecho junto con la apertura a la economía de mercado. En virtud de lo anterior, en el marco de sus disposiciones se cuenta con una “</w:t>
      </w:r>
      <w:r>
        <w:rPr>
          <w:rFonts w:ascii="Times New Roman" w:eastAsia="Times New Roman" w:hAnsi="Times New Roman" w:cs="Times New Roman"/>
          <w:i/>
          <w:iCs/>
        </w:rPr>
        <w:t>Constitución Económica</w:t>
      </w:r>
      <w:r>
        <w:rPr>
          <w:rFonts w:ascii="Times New Roman" w:eastAsia="Times New Roman" w:hAnsi="Times New Roman" w:cs="Times New Roman"/>
        </w:rPr>
        <w:t xml:space="preserve">”. Dentro de ella se contempla el artículo 58 constitucional que reconoce la </w:t>
      </w:r>
      <w:r>
        <w:rPr>
          <w:rFonts w:ascii="Times New Roman" w:eastAsia="Times New Roman" w:hAnsi="Times New Roman" w:cs="Times New Roman"/>
          <w:i/>
          <w:iCs/>
        </w:rPr>
        <w:t xml:space="preserve">propiedad privada </w:t>
      </w:r>
      <w:r>
        <w:rPr>
          <w:rFonts w:ascii="Times New Roman" w:eastAsia="Times New Roman" w:hAnsi="Times New Roman" w:cs="Times New Roman"/>
        </w:rPr>
        <w:t>como un derecho que está sujeto al interés público y que no puede ser desconocido ni vulnerado por leyes posteriores</w:t>
      </w:r>
    </w:p>
    <w:p w14:paraId="2872A5C6" w14:textId="77777777"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Como también el artículo 333 establece que “la actividad económica y la iniciativa privada son libres, dentro de los límites del bien común”. Este principio permite que las startups operen en un ambiente de libre competencia, siempre que respeten el bienestar colectivo (Asamblea Nacional Constituyente, 1991)</w:t>
      </w:r>
      <w:r>
        <w:rPr>
          <w:rFonts w:ascii="Times New Roman" w:eastAsia="Times New Roman" w:hAnsi="Times New Roman" w:cs="Times New Roman"/>
          <w:vertAlign w:val="superscript"/>
        </w:rPr>
        <w:footnoteReference w:id="44"/>
      </w:r>
      <w:r>
        <w:rPr>
          <w:rFonts w:ascii="Times New Roman" w:eastAsia="Times New Roman" w:hAnsi="Times New Roman" w:cs="Times New Roman"/>
        </w:rPr>
        <w:t>.</w:t>
      </w:r>
    </w:p>
    <w:p w14:paraId="514E5341" w14:textId="77777777" w:rsidR="00E63642" w:rsidRDefault="00BC177F">
      <w:pPr>
        <w:spacing w:before="240" w:after="240" w:line="276" w:lineRule="auto"/>
        <w:ind w:left="72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iCs/>
        </w:rPr>
        <w:t>Artículo 333. La actividad económica y la iniciativa privada son libres, dentro de los límites del bien común. Para su ejercicio, nadie podrá exigir permisos previos ni requisitos sin autorización de la ley. La libre competencia es un derecho de todos que supone responsabilidades. El Estado, por mandato de la ley, impedirá que se obstruya o se restrinja la libertad económica</w:t>
      </w:r>
      <w:r>
        <w:rPr>
          <w:rFonts w:ascii="Times New Roman" w:eastAsia="Times New Roman" w:hAnsi="Times New Roman" w:cs="Times New Roman"/>
        </w:rPr>
        <w:t>” (Asamblea Nacional Constituyente, 1991)</w:t>
      </w:r>
      <w:r>
        <w:rPr>
          <w:rFonts w:ascii="Times New Roman" w:eastAsia="Times New Roman" w:hAnsi="Times New Roman" w:cs="Times New Roman"/>
          <w:vertAlign w:val="superscript"/>
        </w:rPr>
        <w:footnoteReference w:id="45"/>
      </w:r>
      <w:r>
        <w:rPr>
          <w:rFonts w:ascii="Times New Roman" w:eastAsia="Times New Roman" w:hAnsi="Times New Roman" w:cs="Times New Roman"/>
        </w:rPr>
        <w:t>.</w:t>
      </w:r>
    </w:p>
    <w:p w14:paraId="44DCB28A" w14:textId="77777777"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A su vez, el artículo referenciado en su inciso 3 estipula que la empresa, como base del desarrollo, tiene una función social que implica obligaciones y el Estado tiene la obligación de estimular el desarrollo empresarial</w:t>
      </w:r>
      <w:r>
        <w:rPr>
          <w:rFonts w:ascii="Times New Roman" w:eastAsia="Times New Roman" w:hAnsi="Times New Roman" w:cs="Times New Roman"/>
          <w:vertAlign w:val="superscript"/>
        </w:rPr>
        <w:footnoteReference w:id="46"/>
      </w:r>
      <w:r>
        <w:rPr>
          <w:rFonts w:ascii="Times New Roman" w:eastAsia="Times New Roman" w:hAnsi="Times New Roman" w:cs="Times New Roman"/>
        </w:rPr>
        <w:t>.</w:t>
      </w:r>
    </w:p>
    <w:p w14:paraId="61BA2E60" w14:textId="77777777"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Por su parte, la “Constitución Ecológica o Verde” que también se encuentra en nuestra Carta Política protege el medio ambiente en sus artículos 8 y 79, incluyendo a la fauna, es decir, a los animales. </w:t>
      </w:r>
    </w:p>
    <w:p w14:paraId="3E91F556" w14:textId="77777777" w:rsidR="00E63642" w:rsidRDefault="00BC177F">
      <w:pPr>
        <w:spacing w:before="240" w:after="240" w:line="276" w:lineRule="auto"/>
        <w:jc w:val="both"/>
        <w:rPr>
          <w:rFonts w:ascii="Times New Roman" w:eastAsia="Times New Roman" w:hAnsi="Times New Roman" w:cs="Times New Roman"/>
          <w:i/>
          <w:iCs/>
        </w:rPr>
      </w:pPr>
      <w:r>
        <w:rPr>
          <w:rFonts w:ascii="Times New Roman" w:eastAsia="Times New Roman" w:hAnsi="Times New Roman" w:cs="Times New Roman"/>
          <w:b/>
          <w:bCs/>
        </w:rPr>
        <w:t>5.3. Normas legales</w:t>
      </w:r>
    </w:p>
    <w:p w14:paraId="007DC3A1" w14:textId="77777777" w:rsidR="00E63642" w:rsidRDefault="00BC177F">
      <w:pPr>
        <w:spacing w:before="240" w:after="40" w:line="276" w:lineRule="auto"/>
        <w:jc w:val="both"/>
        <w:rPr>
          <w:rFonts w:ascii="Times New Roman" w:eastAsia="Times New Roman" w:hAnsi="Times New Roman" w:cs="Times New Roman"/>
        </w:rPr>
      </w:pPr>
      <w:bookmarkStart w:id="4" w:name="_heading=h.i60kf8bzuy0b" w:colFirst="0" w:colLast="0"/>
      <w:bookmarkEnd w:id="4"/>
      <w:r>
        <w:rPr>
          <w:rFonts w:ascii="Times New Roman" w:eastAsia="Times New Roman" w:hAnsi="Times New Roman" w:cs="Times New Roman"/>
        </w:rPr>
        <w:t xml:space="preserve">En materia de emprendimiento, la Ley 590 de 2000 estipula en su artículo 14 la obligación de las entidades territoriales de organizar espacios y actividades para la promoción de las </w:t>
      </w:r>
      <w:proofErr w:type="spellStart"/>
      <w:r>
        <w:rPr>
          <w:rFonts w:ascii="Times New Roman" w:eastAsia="Times New Roman" w:hAnsi="Times New Roman" w:cs="Times New Roman"/>
        </w:rPr>
        <w:t>mipymes</w:t>
      </w:r>
      <w:proofErr w:type="spellEnd"/>
      <w:r>
        <w:rPr>
          <w:rFonts w:ascii="Times New Roman" w:eastAsia="Times New Roman" w:hAnsi="Times New Roman" w:cs="Times New Roman"/>
        </w:rPr>
        <w:t xml:space="preserve"> en su jurisdicción:</w:t>
      </w:r>
    </w:p>
    <w:p w14:paraId="73C6B3BA" w14:textId="77777777" w:rsidR="00E63642" w:rsidRDefault="00BC177F">
      <w:pPr>
        <w:spacing w:before="240" w:after="40" w:line="276" w:lineRule="auto"/>
        <w:ind w:left="566"/>
        <w:jc w:val="both"/>
        <w:rPr>
          <w:rFonts w:ascii="Times New Roman" w:eastAsia="Times New Roman" w:hAnsi="Times New Roman" w:cs="Times New Roman"/>
          <w:i/>
          <w:iCs/>
        </w:rPr>
      </w:pPr>
      <w:bookmarkStart w:id="5" w:name="_heading=h.lhk1ia77xjl4" w:colFirst="0" w:colLast="0"/>
      <w:bookmarkEnd w:id="5"/>
      <w:r>
        <w:rPr>
          <w:rFonts w:ascii="Times New Roman" w:eastAsia="Times New Roman" w:hAnsi="Times New Roman" w:cs="Times New Roman"/>
          <w:i/>
          <w:iCs/>
        </w:rPr>
        <w:t xml:space="preserve">“Artículo 14. Promoción. Las entidades públicas del orden nacional y regional competentes, los departamentos, municipios y distritos promoverán coordinadamente, la organización de ferias locales y nacionales, la conformación de centros de exhibición e información permanentes, y otras actividades similares para dinamizar mercados en beneficio de las </w:t>
      </w:r>
      <w:proofErr w:type="spellStart"/>
      <w:r>
        <w:rPr>
          <w:rFonts w:ascii="Times New Roman" w:eastAsia="Times New Roman" w:hAnsi="Times New Roman" w:cs="Times New Roman"/>
          <w:i/>
          <w:iCs/>
        </w:rPr>
        <w:t>Mipymes</w:t>
      </w:r>
      <w:proofErr w:type="spellEnd"/>
      <w:r>
        <w:rPr>
          <w:rFonts w:ascii="Times New Roman" w:eastAsia="Times New Roman" w:hAnsi="Times New Roman" w:cs="Times New Roman"/>
          <w:i/>
          <w:iCs/>
        </w:rPr>
        <w:t xml:space="preserve"> (...)”</w:t>
      </w:r>
      <w:r>
        <w:rPr>
          <w:rFonts w:ascii="Times New Roman" w:eastAsia="Times New Roman" w:hAnsi="Times New Roman" w:cs="Times New Roman"/>
          <w:i/>
          <w:iCs/>
          <w:vertAlign w:val="superscript"/>
        </w:rPr>
        <w:footnoteReference w:id="47"/>
      </w:r>
      <w:r>
        <w:rPr>
          <w:rFonts w:ascii="Times New Roman" w:eastAsia="Times New Roman" w:hAnsi="Times New Roman" w:cs="Times New Roman"/>
          <w:i/>
          <w:iCs/>
        </w:rPr>
        <w:t xml:space="preserve">. </w:t>
      </w:r>
    </w:p>
    <w:p w14:paraId="28E9E846"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Además, la Ley 2069 de 2020 </w:t>
      </w:r>
      <w:r>
        <w:rPr>
          <w:rFonts w:ascii="Times New Roman" w:eastAsia="Times New Roman" w:hAnsi="Times New Roman" w:cs="Times New Roman"/>
          <w:i/>
          <w:iCs/>
        </w:rPr>
        <w:t xml:space="preserve">“Por medio de la cual se busca impulsar el emprendimiento en Colombia” </w:t>
      </w:r>
      <w:r>
        <w:rPr>
          <w:rFonts w:ascii="Times New Roman" w:eastAsia="Times New Roman" w:hAnsi="Times New Roman" w:cs="Times New Roman"/>
        </w:rPr>
        <w:t>incluye disposiciones para el apoyo a  MIPYMES, así:</w:t>
      </w:r>
    </w:p>
    <w:p w14:paraId="308094A1" w14:textId="77777777" w:rsidR="00E63642" w:rsidRDefault="00BC177F">
      <w:pPr>
        <w:spacing w:after="160" w:line="276" w:lineRule="auto"/>
        <w:ind w:left="708"/>
        <w:jc w:val="both"/>
        <w:rPr>
          <w:rFonts w:ascii="Times New Roman" w:eastAsia="Times New Roman" w:hAnsi="Times New Roman" w:cs="Times New Roman"/>
          <w:i/>
          <w:iCs/>
          <w:vertAlign w:val="superscript"/>
        </w:rPr>
      </w:pPr>
      <w:r>
        <w:rPr>
          <w:rFonts w:ascii="Times New Roman" w:eastAsia="Times New Roman" w:hAnsi="Times New Roman" w:cs="Times New Roman"/>
          <w:i/>
          <w:iCs/>
        </w:rPr>
        <w:t>“(...) Establecer un marco regulatorio que propicie el emprendimiento y el crecimiento, consolidación y sostenibilidad de las empresas, con el fin de aumentar el bienestar social y generar equidad (...)”</w:t>
      </w:r>
      <w:r>
        <w:rPr>
          <w:rFonts w:ascii="Times New Roman" w:eastAsia="Times New Roman" w:hAnsi="Times New Roman" w:cs="Times New Roman"/>
          <w:i/>
          <w:iCs/>
          <w:vertAlign w:val="superscript"/>
        </w:rPr>
        <w:footnoteReference w:id="48"/>
      </w:r>
      <w:r>
        <w:rPr>
          <w:rFonts w:ascii="Times New Roman" w:eastAsia="Times New Roman" w:hAnsi="Times New Roman" w:cs="Times New Roman"/>
          <w:i/>
          <w:iCs/>
          <w:vertAlign w:val="superscript"/>
        </w:rPr>
        <w:t>.</w:t>
      </w:r>
    </w:p>
    <w:p w14:paraId="4FD2BE1A"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El artículo 63 de la Ley en mención autoriza a los municipios y distritos a crear Fondos Territoriales temporales para el desarrollo integral y la reactivación económica de las empresas y emprendimientos. </w:t>
      </w:r>
    </w:p>
    <w:p w14:paraId="62D3CE93"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 xml:space="preserve">En lo referente a protección y bienestar animal, la Ley 84 de 1989 estipula que los animales tendrán especial protección contra el sufrimiento y el dolor, causados directa o indirectamente </w:t>
      </w:r>
      <w:r>
        <w:rPr>
          <w:rFonts w:ascii="Times New Roman" w:eastAsia="Times New Roman" w:hAnsi="Times New Roman" w:cs="Times New Roman"/>
        </w:rPr>
        <w:lastRenderedPageBreak/>
        <w:t>por las personas</w:t>
      </w:r>
      <w:r>
        <w:rPr>
          <w:rFonts w:ascii="Times New Roman" w:eastAsia="Times New Roman" w:hAnsi="Times New Roman" w:cs="Times New Roman"/>
          <w:vertAlign w:val="superscript"/>
        </w:rPr>
        <w:footnoteReference w:id="49"/>
      </w:r>
      <w:r>
        <w:rPr>
          <w:rFonts w:ascii="Times New Roman" w:eastAsia="Times New Roman" w:hAnsi="Times New Roman" w:cs="Times New Roman"/>
        </w:rPr>
        <w:t>. Y, por su parte, la Ley 1774 de 2016 prohíbe el maltrato animal, consagrando como premisa fundamental el reconocimiento de los animales como seres sintientes</w:t>
      </w:r>
      <w:r>
        <w:rPr>
          <w:rFonts w:ascii="Times New Roman" w:eastAsia="Times New Roman" w:hAnsi="Times New Roman" w:cs="Times New Roman"/>
          <w:vertAlign w:val="superscript"/>
        </w:rPr>
        <w:footnoteReference w:id="50"/>
      </w:r>
      <w:r>
        <w:rPr>
          <w:rFonts w:ascii="Times New Roman" w:eastAsia="Times New Roman" w:hAnsi="Times New Roman" w:cs="Times New Roman"/>
        </w:rPr>
        <w:t>.</w:t>
      </w:r>
    </w:p>
    <w:p w14:paraId="72A8C327"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Es importante subrayar que, se encuentra en trámite en el Congreso de la República el Proyecto de  Ley 452 del 2024 Cámara “Ley Kiara”, por medio del cual se propende por regular los servicios de cuidado para animales de compañía, se protegen los derechos de los usuarios y se dictan otras disposiciones. Este proyecto de ley contempla las siguientes disposiciones:</w:t>
      </w:r>
    </w:p>
    <w:p w14:paraId="4F53A2A2" w14:textId="77777777" w:rsidR="00E63642" w:rsidRDefault="00BC177F">
      <w:pPr>
        <w:spacing w:after="160" w:line="276" w:lineRule="auto"/>
        <w:ind w:left="720"/>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i/>
          <w:iCs/>
        </w:rPr>
        <w:t xml:space="preserve">el Sistema Nacional de Protección y Bienestar Animal (SINAPYBA) será responsable de expedir un "Reglamento técnico de condiciones para la prestación de servicios para animales de compañía", el cual deberá incluir, como mínimo, los lineamientos establecidos en la ley y los protocolos para cada actividad regulada, garantizando así los derechos </w:t>
      </w:r>
      <w:r>
        <w:rPr>
          <w:rFonts w:ascii="Times New Roman" w:eastAsia="Times New Roman" w:hAnsi="Times New Roman" w:cs="Times New Roman"/>
        </w:rPr>
        <w:t>de</w:t>
      </w:r>
      <w:r>
        <w:rPr>
          <w:rFonts w:ascii="Times New Roman" w:eastAsia="Times New Roman" w:hAnsi="Times New Roman" w:cs="Times New Roman"/>
          <w:i/>
          <w:iCs/>
        </w:rPr>
        <w:t xml:space="preserve"> los usuarios y el bienestar de los animales. Además, se establecerá que todos los prestadores de servicios de cuidado de animales de compañía deberán registrarse en una plataforma habilitada por el Ministerio de Ambiente y Desarrollo Sostenible</w:t>
      </w:r>
      <w:r>
        <w:rPr>
          <w:rFonts w:ascii="Times New Roman" w:eastAsia="Times New Roman" w:hAnsi="Times New Roman" w:cs="Times New Roman"/>
        </w:rPr>
        <w:t xml:space="preserve"> (...)”. </w:t>
      </w:r>
    </w:p>
    <w:p w14:paraId="5692F73E" w14:textId="77777777" w:rsidR="00E63642" w:rsidRDefault="00BC177F">
      <w:pPr>
        <w:spacing w:after="160" w:line="276" w:lineRule="auto"/>
        <w:ind w:left="720"/>
        <w:jc w:val="both"/>
        <w:rPr>
          <w:rFonts w:ascii="Times New Roman" w:eastAsia="Times New Roman" w:hAnsi="Times New Roman" w:cs="Times New Roman"/>
        </w:rPr>
      </w:pPr>
      <w:r>
        <w:rPr>
          <w:rFonts w:ascii="Times New Roman" w:eastAsia="Times New Roman" w:hAnsi="Times New Roman" w:cs="Times New Roman"/>
          <w:i/>
          <w:iCs/>
        </w:rPr>
        <w:t xml:space="preserve">“(...) Asimismo, se definirán claramente las responsabilidades de las empresas dedicadas a la prestación de servicios como transporte, guarderías, centros de educación y adiestramiento, peluquería, grooming, spa y paseadores. El proyecto también propondrá la creación de un modelo para la construcción de contratos de servicios de cuidado animal, junto con mecanismos que permitan la verificación del cumplimiento de las normativas y sanciones en caso de incumplimiento” </w:t>
      </w:r>
      <w:r>
        <w:rPr>
          <w:rFonts w:ascii="Times New Roman" w:eastAsia="Times New Roman" w:hAnsi="Times New Roman" w:cs="Times New Roman"/>
          <w:vertAlign w:val="superscript"/>
        </w:rPr>
        <w:footnoteReference w:id="51"/>
      </w:r>
      <w:r>
        <w:rPr>
          <w:rFonts w:ascii="Times New Roman" w:eastAsia="Times New Roman" w:hAnsi="Times New Roman" w:cs="Times New Roman"/>
        </w:rPr>
        <w:t>.</w:t>
      </w:r>
    </w:p>
    <w:p w14:paraId="5F23EFEC" w14:textId="77777777" w:rsidR="00E63642" w:rsidRDefault="00BC177F">
      <w:pPr>
        <w:spacing w:after="160" w:line="276" w:lineRule="auto"/>
        <w:jc w:val="both"/>
        <w:rPr>
          <w:rFonts w:ascii="Times New Roman" w:eastAsia="Times New Roman" w:hAnsi="Times New Roman" w:cs="Times New Roman"/>
          <w:b/>
          <w:bCs/>
        </w:rPr>
      </w:pPr>
      <w:r>
        <w:rPr>
          <w:rFonts w:ascii="Times New Roman" w:eastAsia="Times New Roman" w:hAnsi="Times New Roman" w:cs="Times New Roman"/>
          <w:b/>
          <w:bCs/>
        </w:rPr>
        <w:t>5.4. Normas reglamentarias:</w:t>
      </w:r>
    </w:p>
    <w:p w14:paraId="00B807E1" w14:textId="77777777" w:rsidR="00E63642" w:rsidRDefault="00E63642">
      <w:pPr>
        <w:spacing w:after="160" w:line="276" w:lineRule="auto"/>
        <w:jc w:val="both"/>
        <w:rPr>
          <w:rFonts w:ascii="Times New Roman" w:eastAsia="Times New Roman" w:hAnsi="Times New Roman" w:cs="Times New Roman"/>
          <w:b/>
          <w:bCs/>
        </w:rPr>
      </w:pPr>
    </w:p>
    <w:p w14:paraId="2F12FFBB" w14:textId="77777777" w:rsidR="00E63642" w:rsidRDefault="00BC177F">
      <w:pPr>
        <w:spacing w:after="160" w:line="276" w:lineRule="auto"/>
        <w:jc w:val="both"/>
        <w:rPr>
          <w:rFonts w:ascii="Times New Roman" w:eastAsia="Times New Roman" w:hAnsi="Times New Roman" w:cs="Times New Roman"/>
          <w:i/>
          <w:iCs/>
        </w:rPr>
      </w:pPr>
      <w:r>
        <w:rPr>
          <w:rFonts w:ascii="Times New Roman" w:eastAsia="Times New Roman" w:hAnsi="Times New Roman" w:cs="Times New Roman"/>
        </w:rPr>
        <w:t xml:space="preserve">La Política Pública Distrital de Protección y Bienestar Animal 2014-2038, adoptada mediante el Decreto Distrital 242 de 2015, busca orientar el desarrollo de las acciones a implementar, en pro de </w:t>
      </w:r>
      <w:r>
        <w:rPr>
          <w:rFonts w:ascii="Times New Roman" w:eastAsia="Times New Roman" w:hAnsi="Times New Roman" w:cs="Times New Roman"/>
          <w:i/>
          <w:iCs/>
        </w:rPr>
        <w:t>“(...) Otorgar a los animales escenarios de vida óptimos, de acuerdo a sus necesidades y requerimientos, a partir de la apropiación de una cultura ciudadana e institucional comprometida con la protección y el bienestar integral de los animales y la convivencia ciudadana en torno a su existencia (...)”</w:t>
      </w:r>
      <w:r>
        <w:rPr>
          <w:rFonts w:ascii="Times New Roman" w:eastAsia="Times New Roman" w:hAnsi="Times New Roman" w:cs="Times New Roman"/>
          <w:i/>
          <w:iCs/>
          <w:vertAlign w:val="superscript"/>
        </w:rPr>
        <w:footnoteReference w:id="52"/>
      </w:r>
      <w:r>
        <w:rPr>
          <w:rFonts w:ascii="Times New Roman" w:eastAsia="Times New Roman" w:hAnsi="Times New Roman" w:cs="Times New Roman"/>
          <w:i/>
          <w:iCs/>
        </w:rPr>
        <w:t>.</w:t>
      </w:r>
    </w:p>
    <w:p w14:paraId="06E97D3C" w14:textId="77777777"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rPr>
        <w:t>Por su parte, el Acuerdo Distrital 819 de 2021 fomenta el emprendimiento de mujeres</w:t>
      </w:r>
      <w:r>
        <w:rPr>
          <w:rFonts w:ascii="Times New Roman" w:eastAsia="Times New Roman" w:hAnsi="Times New Roman" w:cs="Times New Roman"/>
          <w:vertAlign w:val="superscript"/>
        </w:rPr>
        <w:footnoteReference w:id="53"/>
      </w:r>
      <w:r>
        <w:rPr>
          <w:rFonts w:ascii="Times New Roman" w:eastAsia="Times New Roman" w:hAnsi="Times New Roman" w:cs="Times New Roman"/>
        </w:rPr>
        <w:t>. Adicionalmente, el Acuerdo Distrital 848 de 2022 incentiva el emprendimiento en la educación básica secundaria y media en las instituciones educativas públicas de la ciudad</w:t>
      </w:r>
      <w:r>
        <w:rPr>
          <w:rFonts w:ascii="Times New Roman" w:eastAsia="Times New Roman" w:hAnsi="Times New Roman" w:cs="Times New Roman"/>
          <w:vertAlign w:val="superscript"/>
        </w:rPr>
        <w:footnoteReference w:id="54"/>
      </w:r>
      <w:r>
        <w:rPr>
          <w:rFonts w:ascii="Times New Roman" w:eastAsia="Times New Roman" w:hAnsi="Times New Roman" w:cs="Times New Roman"/>
        </w:rPr>
        <w:t>.  Como también se encuentra vigente el Acuerdo Distrital 814 de 2021 por medio del cual se reconoce, fortalece y apoya la labor de las cuidadoras, los cuidadores y los hogares de paso de animales domésticos rescatados en el Distrito Capital, el cual tiene por objeto:</w:t>
      </w:r>
    </w:p>
    <w:p w14:paraId="46760CAC" w14:textId="77777777" w:rsidR="00E63642" w:rsidRDefault="00BC177F">
      <w:pPr>
        <w:spacing w:after="160" w:line="276" w:lineRule="auto"/>
        <w:ind w:left="360"/>
        <w:jc w:val="both"/>
        <w:rPr>
          <w:rFonts w:ascii="Times New Roman" w:eastAsia="Times New Roman" w:hAnsi="Times New Roman" w:cs="Times New Roman"/>
          <w:i/>
          <w:iCs/>
        </w:rPr>
      </w:pPr>
      <w:r>
        <w:rPr>
          <w:rFonts w:ascii="Times New Roman" w:eastAsia="Times New Roman" w:hAnsi="Times New Roman" w:cs="Times New Roman"/>
          <w:i/>
          <w:iCs/>
        </w:rPr>
        <w:t>“Reconocer, fortalecer y apoyar la labor de las personas que se dedican al cuidado de animales domésticos rescatados en el Distrito Capital, con el fin de respaldar y potenciar el servicio que les prestan a animales vulnerables y a la sociedad; (ii) insertar a las Redes locales de protección animal y de hogares de paso como aliadas estratégicas en la formulación y ejecución de programas y proyectos de protección y bienestar animal en el Distrito Capital, y (iii) garantizar que los animales domésticos rescatados albergados en hogares de paso estén en condiciones de bienestar físico y emocional”</w:t>
      </w:r>
      <w:r>
        <w:rPr>
          <w:rFonts w:ascii="Times New Roman" w:eastAsia="Times New Roman" w:hAnsi="Times New Roman" w:cs="Times New Roman"/>
          <w:i/>
          <w:iCs/>
          <w:vertAlign w:val="superscript"/>
        </w:rPr>
        <w:footnoteReference w:id="55"/>
      </w:r>
      <w:r>
        <w:rPr>
          <w:rFonts w:ascii="Times New Roman" w:eastAsia="Times New Roman" w:hAnsi="Times New Roman" w:cs="Times New Roman"/>
          <w:i/>
          <w:iCs/>
        </w:rPr>
        <w:t>.</w:t>
      </w:r>
    </w:p>
    <w:p w14:paraId="39D10893"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En resumen, tanto Colombia como Bogotá no cuentan con un sólido marco jurídico que regule no solo la protección y bienestar animal, sino el sector económico en torno a este tema, como los es el apoyo a los Clúster o MIPYMES de bienes y servicios para animales.   En consecuencia, es pertinente reforzar las disposiciones normativas que permitan fomentar el bienestar y la protección animal a través del emprendimiento. </w:t>
      </w:r>
    </w:p>
    <w:p w14:paraId="2342C8B8" w14:textId="77777777" w:rsidR="00E63642" w:rsidRDefault="00BC177F">
      <w:pPr>
        <w:spacing w:after="160" w:line="276" w:lineRule="auto"/>
        <w:jc w:val="both"/>
        <w:rPr>
          <w:rFonts w:ascii="Times New Roman" w:eastAsia="Times New Roman" w:hAnsi="Times New Roman" w:cs="Times New Roman"/>
          <w:b/>
          <w:bCs/>
        </w:rPr>
      </w:pPr>
      <w:r>
        <w:rPr>
          <w:rFonts w:ascii="Times New Roman" w:eastAsia="Times New Roman" w:hAnsi="Times New Roman" w:cs="Times New Roman"/>
          <w:b/>
          <w:bCs/>
        </w:rPr>
        <w:t>5.5. Jurisprudencia</w:t>
      </w:r>
    </w:p>
    <w:p w14:paraId="541B021A"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Las Altas Cortes colombianas han reconocido a los animales como seres sintientes. La Corte Constitucional en la sentencia C-467 de 2016 explicó que la norma según la cual los animales son seres sintientes -artículo 1º de la Ley 1774 de 2016- tiene apoyo en el deber constitucional de protección de los animales, sin que implique afectar su condición de bienes jurídicos</w:t>
      </w:r>
      <w:r>
        <w:rPr>
          <w:rFonts w:ascii="Times New Roman" w:eastAsia="Times New Roman" w:hAnsi="Times New Roman" w:cs="Times New Roman"/>
          <w:vertAlign w:val="superscript"/>
        </w:rPr>
        <w:footnoteReference w:id="56"/>
      </w:r>
      <w:r>
        <w:rPr>
          <w:rFonts w:ascii="Times New Roman" w:eastAsia="Times New Roman" w:hAnsi="Times New Roman" w:cs="Times New Roman"/>
        </w:rPr>
        <w:t xml:space="preserve">. </w:t>
      </w:r>
    </w:p>
    <w:p w14:paraId="2B2C6F52"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Por su parte, en la sentencia C -343 de 2017 la Corte consideró que “</w:t>
      </w:r>
      <w:r>
        <w:rPr>
          <w:rFonts w:ascii="Times New Roman" w:eastAsia="Times New Roman" w:hAnsi="Times New Roman" w:cs="Times New Roman"/>
          <w:i/>
          <w:iCs/>
        </w:rPr>
        <w:t>los animales como seres sintientes no son cosas y por virtud de tal cualificación se hacen merecedores de una protección especial contra el sufrimiento y el dolor, en especial el causado directa o indirectamente por los humanos</w:t>
      </w:r>
      <w:r>
        <w:rPr>
          <w:rFonts w:ascii="Times New Roman" w:eastAsia="Times New Roman" w:hAnsi="Times New Roman" w:cs="Times New Roman"/>
        </w:rPr>
        <w:t>”</w:t>
      </w:r>
      <w:r>
        <w:rPr>
          <w:rFonts w:ascii="Times New Roman" w:eastAsia="Times New Roman" w:hAnsi="Times New Roman" w:cs="Times New Roman"/>
          <w:vertAlign w:val="superscript"/>
        </w:rPr>
        <w:footnoteReference w:id="57"/>
      </w:r>
      <w:r>
        <w:rPr>
          <w:rFonts w:ascii="Times New Roman" w:eastAsia="Times New Roman" w:hAnsi="Times New Roman" w:cs="Times New Roman"/>
        </w:rPr>
        <w:t>.</w:t>
      </w:r>
    </w:p>
    <w:p w14:paraId="62B76864"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Aunado a lo anterior, en la sentencia T - 142 de 2023 se reafirmó que:</w:t>
      </w:r>
    </w:p>
    <w:p w14:paraId="312CA8BC" w14:textId="77777777" w:rsidR="00E63642" w:rsidRDefault="00BC177F">
      <w:pPr>
        <w:spacing w:after="160" w:line="276" w:lineRule="auto"/>
        <w:ind w:left="566"/>
        <w:jc w:val="both"/>
        <w:rPr>
          <w:rFonts w:ascii="Times New Roman" w:eastAsia="Times New Roman" w:hAnsi="Times New Roman" w:cs="Times New Roman"/>
          <w:i/>
          <w:iCs/>
        </w:rPr>
      </w:pPr>
      <w:r>
        <w:rPr>
          <w:rFonts w:ascii="Times New Roman" w:eastAsia="Times New Roman" w:hAnsi="Times New Roman" w:cs="Times New Roman"/>
          <w:i/>
          <w:iCs/>
        </w:rPr>
        <w:t>“La Corte Constitucional ha consolidado una línea jurisprudencial en distintos escenarios medio ambientales, entre ellos, en el relacionado con la prohibición de maltrato a los animales, en tanto integrantes del recurso faunístico de los ecosistemas y cuya consideración es necesaria e imperiosa en el marco de la Constitución ecológica.</w:t>
      </w:r>
    </w:p>
    <w:p w14:paraId="1951F710" w14:textId="77777777" w:rsidR="00E63642" w:rsidRDefault="00BC177F">
      <w:pPr>
        <w:spacing w:after="160" w:line="276" w:lineRule="auto"/>
        <w:ind w:left="566"/>
        <w:jc w:val="both"/>
        <w:rPr>
          <w:rFonts w:ascii="Times New Roman" w:eastAsia="Times New Roman" w:hAnsi="Times New Roman" w:cs="Times New Roman"/>
          <w:i/>
          <w:iCs/>
        </w:rPr>
      </w:pPr>
      <w:r>
        <w:rPr>
          <w:rFonts w:ascii="Times New Roman" w:eastAsia="Times New Roman" w:hAnsi="Times New Roman" w:cs="Times New Roman"/>
          <w:i/>
          <w:iCs/>
        </w:rPr>
        <w:t>Para la Corte Constitucional no es correcta una visión antropocéntrica, esto es, aquella en la que la persona humana es el centro y la razón de ser del universo, con facultad ilimitada para disponer de aquello a su alrededor; como tampoco lo es la apreciación del medio ambiente, la lucha por su conservación y el mantenimiento de su diversidad, como un mero instrumento -visión utilitarista- para la satisfacción de diversas finalidades.</w:t>
      </w:r>
    </w:p>
    <w:p w14:paraId="787FCE37" w14:textId="77777777" w:rsidR="00E63642" w:rsidRDefault="00BC177F">
      <w:pPr>
        <w:spacing w:after="160" w:line="276" w:lineRule="auto"/>
        <w:ind w:left="566"/>
        <w:jc w:val="both"/>
        <w:rPr>
          <w:rFonts w:ascii="Times New Roman" w:eastAsia="Times New Roman" w:hAnsi="Times New Roman" w:cs="Times New Roman"/>
        </w:rPr>
      </w:pPr>
      <w:r>
        <w:rPr>
          <w:rFonts w:ascii="Times New Roman" w:eastAsia="Times New Roman" w:hAnsi="Times New Roman" w:cs="Times New Roman"/>
          <w:i/>
          <w:iCs/>
        </w:rPr>
        <w:lastRenderedPageBreak/>
        <w:t xml:space="preserve">En relación con la protección de los animales, la manifestación concreta de esta posición se hace a partir de dos perspectivas: la de fauna protegida en virtud del mantenimiento de la biodiversidad y el equilibrio natural de las especies; y la de fauna a la cual se debe proteger del padecimiento, maltrato y crueldad sin justificación legítima. </w:t>
      </w:r>
      <w:r>
        <w:rPr>
          <w:rFonts w:ascii="Times New Roman" w:eastAsia="Times New Roman" w:hAnsi="Times New Roman" w:cs="Times New Roman"/>
          <w:i/>
          <w:iCs/>
          <w:u w:val="single"/>
        </w:rPr>
        <w:t>Esta última protección refleja un contenido de moral política y de conciencia de la responsabilidad que deben tener los seres humanos respecto de los otros seres sintientes”</w:t>
      </w:r>
      <w:r>
        <w:rPr>
          <w:rFonts w:ascii="Times New Roman" w:eastAsia="Times New Roman" w:hAnsi="Times New Roman" w:cs="Times New Roman"/>
          <w:i/>
          <w:iCs/>
          <w:u w:val="single"/>
          <w:vertAlign w:val="superscript"/>
        </w:rPr>
        <w:footnoteReference w:id="58"/>
      </w:r>
      <w:r>
        <w:rPr>
          <w:rFonts w:ascii="Times New Roman" w:eastAsia="Times New Roman" w:hAnsi="Times New Roman" w:cs="Times New Roman"/>
        </w:rPr>
        <w:t xml:space="preserve"> (subrayado fuera del texto original).</w:t>
      </w:r>
    </w:p>
    <w:p w14:paraId="5A171707" w14:textId="77777777" w:rsidR="00E63642" w:rsidRDefault="00E63642">
      <w:pPr>
        <w:spacing w:after="160" w:line="276" w:lineRule="auto"/>
        <w:ind w:left="566"/>
        <w:jc w:val="both"/>
        <w:rPr>
          <w:rFonts w:ascii="Times New Roman" w:eastAsia="Times New Roman" w:hAnsi="Times New Roman" w:cs="Times New Roman"/>
        </w:rPr>
      </w:pPr>
    </w:p>
    <w:p w14:paraId="42DB5BE8" w14:textId="77777777" w:rsidR="00E63642" w:rsidRDefault="00BC177F">
      <w:pPr>
        <w:spacing w:after="160" w:line="276" w:lineRule="auto"/>
        <w:jc w:val="center"/>
        <w:rPr>
          <w:rFonts w:ascii="Times New Roman" w:eastAsia="Times New Roman" w:hAnsi="Times New Roman" w:cs="Times New Roman"/>
        </w:rPr>
      </w:pPr>
      <w:r>
        <w:rPr>
          <w:rFonts w:ascii="Times New Roman" w:eastAsia="Times New Roman" w:hAnsi="Times New Roman" w:cs="Times New Roman"/>
          <w:b/>
          <w:bCs/>
        </w:rPr>
        <w:t>6. COMPETENCIA DEL CONCEJO DE BOGOTÁ D.C.</w:t>
      </w:r>
    </w:p>
    <w:p w14:paraId="7461B07D"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El Concejo de Bogotá D.C. tiene la competencia para dictar normas relacionadas con la naturaleza y el alcance del presente Proyecto de Acuerdo, según las disposiciones constitucionales y legales vigentes. En primer lugar, el artículo 313 de la Constitución Política de Colombia establece que:</w:t>
      </w:r>
    </w:p>
    <w:p w14:paraId="62BCAA1D" w14:textId="77777777" w:rsidR="00E63642" w:rsidRDefault="00BC177F">
      <w:pPr>
        <w:spacing w:after="160" w:line="276" w:lineRule="auto"/>
        <w:ind w:left="425"/>
        <w:jc w:val="both"/>
        <w:rPr>
          <w:rFonts w:ascii="Times New Roman" w:eastAsia="Times New Roman" w:hAnsi="Times New Roman" w:cs="Times New Roman"/>
          <w:i/>
          <w:iCs/>
        </w:rPr>
      </w:pPr>
      <w:r>
        <w:rPr>
          <w:rFonts w:ascii="Times New Roman" w:eastAsia="Times New Roman" w:hAnsi="Times New Roman" w:cs="Times New Roman"/>
          <w:i/>
          <w:iCs/>
        </w:rPr>
        <w:t>“ARTÍCULO 313. Corresponde a los Concejos:</w:t>
      </w:r>
    </w:p>
    <w:p w14:paraId="7AD6FA5D" w14:textId="77777777" w:rsidR="00E63642" w:rsidRDefault="00BC177F">
      <w:pPr>
        <w:spacing w:after="160" w:line="276" w:lineRule="auto"/>
        <w:ind w:left="425"/>
        <w:jc w:val="both"/>
        <w:rPr>
          <w:rFonts w:ascii="Times New Roman" w:eastAsia="Times New Roman" w:hAnsi="Times New Roman" w:cs="Times New Roman"/>
          <w:i/>
          <w:iCs/>
        </w:rPr>
      </w:pPr>
      <w:r>
        <w:rPr>
          <w:rFonts w:ascii="Times New Roman" w:eastAsia="Times New Roman" w:hAnsi="Times New Roman" w:cs="Times New Roman"/>
          <w:i/>
          <w:iCs/>
        </w:rPr>
        <w:t>1. Reglamentar las funciones y la eficiente prestación de los servicios a cargo del municipio [...]”.</w:t>
      </w:r>
    </w:p>
    <w:p w14:paraId="244FCE34"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En segundo lugar, el artículo 12 del Decreto Ley 1421 de 1993 - Estatuto Orgánico de Bogotá - estipula que:</w:t>
      </w:r>
    </w:p>
    <w:p w14:paraId="24A663A7" w14:textId="77777777" w:rsidR="00E63642" w:rsidRDefault="00BC177F">
      <w:pPr>
        <w:spacing w:after="160" w:line="276" w:lineRule="auto"/>
        <w:ind w:left="566"/>
        <w:jc w:val="both"/>
        <w:rPr>
          <w:rFonts w:ascii="Times New Roman" w:eastAsia="Times New Roman" w:hAnsi="Times New Roman" w:cs="Times New Roman"/>
          <w:i/>
          <w:iCs/>
        </w:rPr>
      </w:pPr>
      <w:r>
        <w:rPr>
          <w:rFonts w:ascii="Times New Roman" w:eastAsia="Times New Roman" w:hAnsi="Times New Roman" w:cs="Times New Roman"/>
          <w:i/>
          <w:iCs/>
        </w:rPr>
        <w:t>“ARTÍCULO 12. Atribuciones. Corresponde al Concejo Distrital, de conformidad con la Constitución y a la ley:</w:t>
      </w:r>
    </w:p>
    <w:p w14:paraId="1E49D171" w14:textId="77777777" w:rsidR="00E63642" w:rsidRDefault="00BC177F">
      <w:pPr>
        <w:spacing w:after="160" w:line="276" w:lineRule="auto"/>
        <w:ind w:left="566"/>
        <w:jc w:val="both"/>
        <w:rPr>
          <w:rFonts w:ascii="Times New Roman" w:eastAsia="Times New Roman" w:hAnsi="Times New Roman" w:cs="Times New Roman"/>
          <w:i/>
          <w:iCs/>
        </w:rPr>
      </w:pPr>
      <w:r>
        <w:rPr>
          <w:rFonts w:ascii="Times New Roman" w:eastAsia="Times New Roman" w:hAnsi="Times New Roman" w:cs="Times New Roman"/>
          <w:i/>
          <w:iCs/>
        </w:rPr>
        <w:t>1. Dictar las normas necesarias para garantizar el adecuado cumplimiento de las funciones y la eficiente prestación de los servicios a cargo del Distrito [...]”.</w:t>
      </w:r>
    </w:p>
    <w:p w14:paraId="10F49261" w14:textId="77777777" w:rsidR="00E63642" w:rsidRDefault="00BC177F">
      <w:pPr>
        <w:spacing w:after="160" w:line="276" w:lineRule="auto"/>
        <w:jc w:val="both"/>
        <w:rPr>
          <w:rFonts w:ascii="Times New Roman" w:eastAsia="Times New Roman" w:hAnsi="Times New Roman" w:cs="Times New Roman"/>
          <w:i/>
          <w:iCs/>
        </w:rPr>
      </w:pPr>
      <w:r>
        <w:rPr>
          <w:rFonts w:ascii="Times New Roman" w:eastAsia="Times New Roman" w:hAnsi="Times New Roman" w:cs="Times New Roman"/>
        </w:rPr>
        <w:t xml:space="preserve">Aunado a lo anterior, de conformidad con el artículo 13 del Decreto Ley 1421 de 1993, la materia del Proyecto de Acuerdo no es de iniciativa privativa del Alcalde Mayor de Bogotá </w:t>
      </w:r>
      <w:r>
        <w:rPr>
          <w:rFonts w:ascii="Times New Roman" w:eastAsia="Times New Roman" w:hAnsi="Times New Roman" w:cs="Times New Roman"/>
        </w:rPr>
        <w:lastRenderedPageBreak/>
        <w:t>D.C. Por tanto, en mi calidad de Concejal de Bogotá D.C. tengo competencia para su radicación. Como también la Corporación para su trámite y discusión.</w:t>
      </w:r>
    </w:p>
    <w:p w14:paraId="11A03ACE" w14:textId="77777777" w:rsidR="00E63642" w:rsidRDefault="00BC177F">
      <w:pPr>
        <w:spacing w:after="160" w:line="276" w:lineRule="auto"/>
        <w:jc w:val="center"/>
        <w:rPr>
          <w:rFonts w:ascii="Times New Roman" w:eastAsia="Times New Roman" w:hAnsi="Times New Roman" w:cs="Times New Roman"/>
          <w:b/>
          <w:bCs/>
        </w:rPr>
      </w:pPr>
      <w:r>
        <w:rPr>
          <w:rFonts w:ascii="Times New Roman" w:eastAsia="Times New Roman" w:hAnsi="Times New Roman" w:cs="Times New Roman"/>
          <w:b/>
          <w:bCs/>
        </w:rPr>
        <w:t>7. IMPACTO FISCAL</w:t>
      </w:r>
    </w:p>
    <w:p w14:paraId="4AFCA0B7"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La Ley 819 de 2003 “</w:t>
      </w:r>
      <w:r>
        <w:rPr>
          <w:rFonts w:ascii="Times New Roman" w:eastAsia="Times New Roman" w:hAnsi="Times New Roman" w:cs="Times New Roman"/>
          <w:i/>
          <w:iCs/>
        </w:rPr>
        <w:t>Por la cual se dictan normas orgánicas en materia de presupuesto, responsabilidad y transparencia fiscal y se dictan otras disposiciones</w:t>
      </w:r>
      <w:r>
        <w:rPr>
          <w:rFonts w:ascii="Times New Roman" w:eastAsia="Times New Roman" w:hAnsi="Times New Roman" w:cs="Times New Roman"/>
        </w:rPr>
        <w:t xml:space="preserve">” en su artículo 7 establece: </w:t>
      </w:r>
    </w:p>
    <w:p w14:paraId="58AE68F1" w14:textId="77777777" w:rsidR="00E63642" w:rsidRDefault="00BC177F">
      <w:pPr>
        <w:spacing w:after="160" w:line="276" w:lineRule="auto"/>
        <w:ind w:left="566"/>
        <w:jc w:val="both"/>
        <w:rPr>
          <w:rFonts w:ascii="Times New Roman" w:eastAsia="Times New Roman" w:hAnsi="Times New Roman" w:cs="Times New Roman"/>
          <w:i/>
          <w:iCs/>
        </w:rPr>
      </w:pPr>
      <w:r>
        <w:rPr>
          <w:rFonts w:ascii="Times New Roman" w:eastAsia="Times New Roman" w:hAnsi="Times New Roman" w:cs="Times New Roman"/>
          <w:i/>
          <w:iCs/>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35FCC4EF" w14:textId="77777777" w:rsidR="00E63642" w:rsidRDefault="00BC177F">
      <w:pPr>
        <w:spacing w:after="160" w:line="276" w:lineRule="auto"/>
        <w:ind w:left="566"/>
        <w:jc w:val="both"/>
        <w:rPr>
          <w:rFonts w:ascii="Times New Roman" w:eastAsia="Times New Roman" w:hAnsi="Times New Roman" w:cs="Times New Roman"/>
        </w:rPr>
      </w:pPr>
      <w:r>
        <w:rPr>
          <w:rFonts w:ascii="Times New Roman" w:eastAsia="Times New Roman" w:hAnsi="Times New Roman" w:cs="Times New Roman"/>
          <w:i/>
          <w:iCs/>
        </w:rPr>
        <w:t>Para estos propósitos, deberá incluirse expresamente en la exposición de motivos y en las ponencias de trámite respectivas los costos fiscales de la iniciativa y la fuente de ingreso adicional generada para el financiamiento de dicho costo”.</w:t>
      </w:r>
    </w:p>
    <w:p w14:paraId="3D1BE76E" w14:textId="77777777" w:rsidR="00E63642" w:rsidRDefault="00BC177F">
      <w:pPr>
        <w:spacing w:after="160" w:line="276" w:lineRule="auto"/>
        <w:jc w:val="both"/>
        <w:rPr>
          <w:rFonts w:ascii="Roboto" w:eastAsia="Roboto" w:hAnsi="Roboto" w:cs="Roboto"/>
          <w:sz w:val="18"/>
          <w:szCs w:val="18"/>
          <w:shd w:val="clear" w:color="auto" w:fill="CCCCCC"/>
        </w:rPr>
      </w:pPr>
      <w:r>
        <w:rPr>
          <w:rFonts w:ascii="Times New Roman" w:eastAsia="Times New Roman" w:hAnsi="Times New Roman" w:cs="Times New Roman"/>
        </w:rPr>
        <w:t xml:space="preserve">En ese sentido, se hace necesario precisar que el presente proyecto de acuerdo, se enmarcan dentro del objetivo </w:t>
      </w:r>
      <w:r>
        <w:rPr>
          <w:rFonts w:ascii="Times New Roman" w:eastAsia="Times New Roman" w:hAnsi="Times New Roman" w:cs="Times New Roman"/>
          <w:i/>
          <w:iCs/>
        </w:rPr>
        <w:t>“Bogotá Confía en su Potencial”</w:t>
      </w:r>
      <w:r>
        <w:rPr>
          <w:rFonts w:ascii="Times New Roman" w:eastAsia="Times New Roman" w:hAnsi="Times New Roman" w:cs="Times New Roman"/>
        </w:rPr>
        <w:t xml:space="preserve"> y </w:t>
      </w:r>
      <w:r>
        <w:rPr>
          <w:rFonts w:ascii="Times New Roman" w:eastAsia="Times New Roman" w:hAnsi="Times New Roman" w:cs="Times New Roman"/>
          <w:i/>
          <w:iCs/>
        </w:rPr>
        <w:t xml:space="preserve">“Bogotá confía en su bien-estar” </w:t>
      </w:r>
      <w:r>
        <w:rPr>
          <w:rFonts w:ascii="Times New Roman" w:eastAsia="Times New Roman" w:hAnsi="Times New Roman" w:cs="Times New Roman"/>
        </w:rPr>
        <w:t>del Plan Distrital de Desarrollo 2024 - 2027, que en el programa 3.19 “Desarrollo empresarial, productividad y empleo” contempla el apoyo a empresas y unidades productivas de la ciudad. Sus principales metas en el marco de las cuales se puede implementar esta iniciativa son las siguientes:</w:t>
      </w:r>
    </w:p>
    <w:p w14:paraId="728A424C" w14:textId="77777777" w:rsidR="00E63642" w:rsidRDefault="00BC177F">
      <w:pPr>
        <w:numPr>
          <w:ilvl w:val="0"/>
          <w:numId w:val="1"/>
        </w:numPr>
        <w:spacing w:line="276" w:lineRule="auto"/>
        <w:ind w:left="425"/>
        <w:jc w:val="both"/>
        <w:rPr>
          <w:rFonts w:ascii="Times New Roman" w:eastAsia="Times New Roman" w:hAnsi="Times New Roman" w:cs="Times New Roman"/>
          <w:i/>
          <w:iCs/>
        </w:rPr>
      </w:pPr>
      <w:r>
        <w:rPr>
          <w:rFonts w:ascii="Times New Roman" w:eastAsia="Times New Roman" w:hAnsi="Times New Roman" w:cs="Times New Roman"/>
          <w:i/>
          <w:iCs/>
        </w:rPr>
        <w:t>“Generar acciones para el acceso a mecanismos de financiación para 2.000 empresas y/o unidades productivas con el fin de impulsar su productividad”.</w:t>
      </w:r>
    </w:p>
    <w:p w14:paraId="3D1E478F" w14:textId="77777777" w:rsidR="00E63642" w:rsidRDefault="00BC177F">
      <w:pPr>
        <w:numPr>
          <w:ilvl w:val="0"/>
          <w:numId w:val="1"/>
        </w:numPr>
        <w:spacing w:line="276" w:lineRule="auto"/>
        <w:ind w:left="425"/>
        <w:jc w:val="both"/>
        <w:rPr>
          <w:rFonts w:ascii="Times New Roman" w:eastAsia="Times New Roman" w:hAnsi="Times New Roman" w:cs="Times New Roman"/>
          <w:i/>
          <w:iCs/>
        </w:rPr>
      </w:pPr>
      <w:r>
        <w:rPr>
          <w:rFonts w:ascii="Times New Roman" w:eastAsia="Times New Roman" w:hAnsi="Times New Roman" w:cs="Times New Roman"/>
          <w:i/>
          <w:iCs/>
        </w:rPr>
        <w:t>“Aumentar el nivel de productividad para 1053 empresas mediante el desarrollo de alianzas estratégicas que conlleven al desarrollo de capacidades para la gestión de procesos de aceleración y sofisticación”.</w:t>
      </w:r>
    </w:p>
    <w:p w14:paraId="4DAC0CCB" w14:textId="77777777" w:rsidR="00E63642" w:rsidRDefault="00BC177F">
      <w:pPr>
        <w:numPr>
          <w:ilvl w:val="0"/>
          <w:numId w:val="1"/>
        </w:numPr>
        <w:spacing w:line="276" w:lineRule="auto"/>
        <w:ind w:left="425"/>
        <w:jc w:val="both"/>
        <w:rPr>
          <w:rFonts w:ascii="Times New Roman" w:eastAsia="Times New Roman" w:hAnsi="Times New Roman" w:cs="Times New Roman"/>
          <w:i/>
          <w:iCs/>
        </w:rPr>
      </w:pPr>
      <w:r>
        <w:rPr>
          <w:rFonts w:ascii="Times New Roman" w:eastAsia="Times New Roman" w:hAnsi="Times New Roman" w:cs="Times New Roman"/>
          <w:i/>
          <w:iCs/>
        </w:rPr>
        <w:t>“Fortalecer 3.500 empresas del tejido empresarial de la ciudad con temas de capacidades empresariales y desarrollo tecnológico”.</w:t>
      </w:r>
    </w:p>
    <w:p w14:paraId="5C73AB66" w14:textId="77777777" w:rsidR="00E63642" w:rsidRDefault="00BC177F">
      <w:pPr>
        <w:numPr>
          <w:ilvl w:val="0"/>
          <w:numId w:val="1"/>
        </w:numPr>
        <w:spacing w:after="160" w:line="276" w:lineRule="auto"/>
        <w:ind w:left="425"/>
        <w:jc w:val="both"/>
        <w:rPr>
          <w:rFonts w:ascii="Times New Roman" w:eastAsia="Times New Roman" w:hAnsi="Times New Roman" w:cs="Times New Roman"/>
          <w:i/>
          <w:iCs/>
        </w:rPr>
      </w:pPr>
      <w:r>
        <w:rPr>
          <w:rFonts w:ascii="Times New Roman" w:eastAsia="Times New Roman" w:hAnsi="Times New Roman" w:cs="Times New Roman"/>
          <w:i/>
          <w:iCs/>
        </w:rPr>
        <w:t>“Apoyar la realización de 8 eventos estratégicos para el posicionamiento internacional del tejido empresarial de Bogotá D.C.”.</w:t>
      </w:r>
    </w:p>
    <w:p w14:paraId="5C835839"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Adicionalmente, el programa 15 “</w:t>
      </w:r>
      <w:r>
        <w:rPr>
          <w:rFonts w:ascii="Times New Roman" w:eastAsia="Times New Roman" w:hAnsi="Times New Roman" w:cs="Times New Roman"/>
          <w:i/>
          <w:iCs/>
        </w:rPr>
        <w:t>Bogotá protege la vida animal</w:t>
      </w:r>
      <w:r>
        <w:rPr>
          <w:rFonts w:ascii="Times New Roman" w:eastAsia="Times New Roman" w:hAnsi="Times New Roman" w:cs="Times New Roman"/>
        </w:rPr>
        <w:t>” tiene como objetivo promover en la ciudadanía un vínculo basado en el respeto y cuidado hacia todas las formas de vida, sus hábitats y su forma de moverse en la ciudad. Donde se encuentran las siguientes metas asociadas con este Proyecto de Acuerdo:</w:t>
      </w:r>
    </w:p>
    <w:p w14:paraId="615B9E17" w14:textId="3D669243" w:rsidR="00E63642" w:rsidRPr="00B420D1" w:rsidRDefault="00BC177F" w:rsidP="00B420D1">
      <w:pPr>
        <w:numPr>
          <w:ilvl w:val="0"/>
          <w:numId w:val="4"/>
        </w:numPr>
        <w:spacing w:after="160" w:line="276" w:lineRule="auto"/>
        <w:ind w:left="425"/>
        <w:jc w:val="both"/>
        <w:rPr>
          <w:rFonts w:ascii="Times New Roman" w:eastAsia="Times New Roman" w:hAnsi="Times New Roman" w:cs="Times New Roman"/>
          <w:i/>
          <w:iCs/>
        </w:rPr>
      </w:pPr>
      <w:r>
        <w:rPr>
          <w:rFonts w:ascii="Times New Roman" w:eastAsia="Times New Roman" w:hAnsi="Times New Roman" w:cs="Times New Roman"/>
          <w:i/>
          <w:iCs/>
        </w:rPr>
        <w:t>“Implementar (1) estrategia de fomento a procesos de participación ciudadana que fortalezcan la incidencia de los diversos actores que trabajan a favor de los animales vulnerables, promoviendo la conciencia y la educación sobre el bienestar animal para crear una cultura de respeto y cuidado hacia todas las especies”.</w:t>
      </w:r>
    </w:p>
    <w:p w14:paraId="12CCC980" w14:textId="77777777" w:rsidR="00E63642" w:rsidRDefault="00BC177F">
      <w:pPr>
        <w:numPr>
          <w:ilvl w:val="0"/>
          <w:numId w:val="4"/>
        </w:numPr>
        <w:spacing w:after="160" w:line="276" w:lineRule="auto"/>
        <w:ind w:left="425"/>
        <w:jc w:val="both"/>
        <w:rPr>
          <w:rFonts w:ascii="Times New Roman" w:eastAsia="Times New Roman" w:hAnsi="Times New Roman" w:cs="Times New Roman"/>
          <w:i/>
          <w:iCs/>
        </w:rPr>
      </w:pPr>
      <w:proofErr w:type="gramStart"/>
      <w:r>
        <w:rPr>
          <w:rFonts w:ascii="Times New Roman" w:eastAsia="Times New Roman" w:hAnsi="Times New Roman" w:cs="Times New Roman"/>
          <w:i/>
          <w:iCs/>
        </w:rPr>
        <w:t>“ Vincular</w:t>
      </w:r>
      <w:proofErr w:type="gramEnd"/>
      <w:r>
        <w:rPr>
          <w:rFonts w:ascii="Times New Roman" w:eastAsia="Times New Roman" w:hAnsi="Times New Roman" w:cs="Times New Roman"/>
          <w:i/>
          <w:iCs/>
        </w:rPr>
        <w:t xml:space="preserve"> a 50.000 personas en acciones educativas sobre protección y bienestar animal para fomentar una convivencia armónica y una transformación cultural desde el enfoque humano-animal.</w:t>
      </w:r>
    </w:p>
    <w:p w14:paraId="555AF19D" w14:textId="77777777" w:rsidR="00E63642" w:rsidRDefault="00BC177F">
      <w:pPr>
        <w:spacing w:after="160" w:line="276" w:lineRule="auto"/>
        <w:jc w:val="both"/>
        <w:rPr>
          <w:rFonts w:ascii="Times New Roman" w:eastAsia="Times New Roman" w:hAnsi="Times New Roman" w:cs="Times New Roman"/>
          <w:i/>
          <w:iCs/>
        </w:rPr>
      </w:pPr>
      <w:r>
        <w:rPr>
          <w:rFonts w:ascii="Times New Roman" w:eastAsia="Times New Roman" w:hAnsi="Times New Roman" w:cs="Times New Roman"/>
        </w:rPr>
        <w:t xml:space="preserve">Así mismo, el artículo 110 del Plan de Desarrollo ‘Bogotá Camina Segura’ le atribuye al Sector de Desarrollo Económico </w:t>
      </w:r>
      <w:r>
        <w:rPr>
          <w:rFonts w:ascii="Times New Roman" w:eastAsia="Times New Roman" w:hAnsi="Times New Roman" w:cs="Times New Roman"/>
          <w:i/>
          <w:iCs/>
        </w:rPr>
        <w:t>“desarrollar y ejecutar programas para facilitar los microcréditos, como instrumento de creación, formalización, fortalecimiento, inclusión financiera y combatir el gota a gota de los micronegocios (...)”.</w:t>
      </w:r>
    </w:p>
    <w:p w14:paraId="1CF40421"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rPr>
        <w:t>En consecuencia, al estar enmarcada dentro de artículos y objetivos estratégicos del Plan Distrital de Desarrollo, esta iniciativa no tiene un impacto fiscal por cuanto no implica la apropiación de recursos adicionales a los sectores y entidades responsables de su implementación.</w:t>
      </w:r>
    </w:p>
    <w:p w14:paraId="584F35A3" w14:textId="77777777" w:rsidR="00E63642" w:rsidRDefault="00E63642">
      <w:pPr>
        <w:spacing w:after="160" w:line="276" w:lineRule="auto"/>
        <w:jc w:val="both"/>
        <w:rPr>
          <w:rFonts w:ascii="Times New Roman" w:eastAsia="Times New Roman" w:hAnsi="Times New Roman" w:cs="Times New Roman"/>
        </w:rPr>
      </w:pPr>
    </w:p>
    <w:p w14:paraId="71C98B46" w14:textId="77777777" w:rsidR="00E63642" w:rsidRDefault="00BC177F">
      <w:pPr>
        <w:spacing w:after="160" w:line="276" w:lineRule="auto"/>
        <w:jc w:val="center"/>
        <w:rPr>
          <w:rFonts w:ascii="Times New Roman" w:eastAsia="Times New Roman" w:hAnsi="Times New Roman" w:cs="Times New Roman"/>
          <w:b/>
          <w:bCs/>
        </w:rPr>
      </w:pPr>
      <w:r>
        <w:rPr>
          <w:rFonts w:ascii="Times New Roman" w:eastAsia="Times New Roman" w:hAnsi="Times New Roman" w:cs="Times New Roman"/>
          <w:b/>
          <w:bCs/>
        </w:rPr>
        <w:t xml:space="preserve">7. PARTICIPACIÓN CIUDADANA. </w:t>
      </w:r>
    </w:p>
    <w:p w14:paraId="5BF0ED32" w14:textId="77777777" w:rsidR="00E63642" w:rsidRDefault="00BC177F">
      <w:pPr>
        <w:spacing w:line="276" w:lineRule="auto"/>
        <w:ind w:left="-566" w:right="-646"/>
        <w:jc w:val="both"/>
        <w:rPr>
          <w:rFonts w:ascii="Times New Roman" w:eastAsia="Times New Roman" w:hAnsi="Times New Roman" w:cs="Times New Roman"/>
          <w:sz w:val="22"/>
          <w:szCs w:val="22"/>
        </w:rPr>
      </w:pPr>
      <w:r w:rsidRPr="00B420D1">
        <w:rPr>
          <w:rFonts w:ascii="Times New Roman" w:eastAsia="Times New Roman" w:hAnsi="Times New Roman" w:cs="Times New Roman"/>
        </w:rPr>
        <w:t xml:space="preserve">El presente Proyecto de Acuerdo fue construido con la participación de la ciudadanía, entre los cuales se contemplaron líderes animalistas, principalmente de la localidad de Fontibón, con quienes se realizó una feria en torno a los </w:t>
      </w:r>
      <w:proofErr w:type="spellStart"/>
      <w:r w:rsidRPr="00B420D1">
        <w:rPr>
          <w:rFonts w:ascii="Times New Roman" w:eastAsia="Times New Roman" w:hAnsi="Times New Roman" w:cs="Times New Roman"/>
        </w:rPr>
        <w:t>cluster</w:t>
      </w:r>
      <w:proofErr w:type="spellEnd"/>
      <w:r w:rsidRPr="00B420D1">
        <w:rPr>
          <w:rFonts w:ascii="Times New Roman" w:eastAsia="Times New Roman" w:hAnsi="Times New Roman" w:cs="Times New Roman"/>
        </w:rPr>
        <w:t xml:space="preserve"> animalistas y cultura de la protección y bienestar de los animales, asimismo se llevaron a cabo mesas técnicas con expertos en temas de desarrollo económico entorno al cuidado animal y tenencia responsable, en la cuales se recolectaron insumos que fueron de gran utilidad para la construcción y ajuste del presente proyecto</w:t>
      </w:r>
      <w:r>
        <w:rPr>
          <w:rFonts w:ascii="Times New Roman" w:eastAsia="Times New Roman" w:hAnsi="Times New Roman" w:cs="Times New Roman"/>
          <w:sz w:val="22"/>
          <w:szCs w:val="22"/>
        </w:rPr>
        <w:t>.</w:t>
      </w:r>
    </w:p>
    <w:p w14:paraId="44C87F3D" w14:textId="77777777" w:rsidR="00E63642" w:rsidRDefault="00E63642">
      <w:pPr>
        <w:spacing w:line="276" w:lineRule="auto"/>
        <w:ind w:left="-566" w:right="-646"/>
        <w:jc w:val="both"/>
        <w:rPr>
          <w:rFonts w:ascii="Times New Roman" w:eastAsia="Times New Roman" w:hAnsi="Times New Roman" w:cs="Times New Roman"/>
          <w:sz w:val="22"/>
          <w:szCs w:val="22"/>
        </w:rPr>
      </w:pPr>
    </w:p>
    <w:p w14:paraId="5AC62C76" w14:textId="77777777" w:rsidR="00E63642" w:rsidRDefault="00E63642">
      <w:pPr>
        <w:spacing w:line="276" w:lineRule="auto"/>
        <w:ind w:left="-566" w:right="-646"/>
        <w:jc w:val="both"/>
        <w:rPr>
          <w:rFonts w:ascii="Times New Roman" w:eastAsia="Times New Roman" w:hAnsi="Times New Roman" w:cs="Times New Roman"/>
          <w:sz w:val="22"/>
          <w:szCs w:val="22"/>
        </w:rPr>
      </w:pPr>
    </w:p>
    <w:p w14:paraId="7FA49AE2" w14:textId="77777777" w:rsidR="00E63642" w:rsidRDefault="00BC177F">
      <w:pPr>
        <w:spacing w:line="276" w:lineRule="auto"/>
        <w:ind w:left="-566" w:right="-646"/>
        <w:jc w:val="center"/>
        <w:rPr>
          <w:rFonts w:ascii="Times New Roman" w:eastAsia="Times New Roman" w:hAnsi="Times New Roman" w:cs="Times New Roman"/>
          <w:sz w:val="22"/>
          <w:szCs w:val="22"/>
        </w:rPr>
      </w:pPr>
      <w:r>
        <w:rPr>
          <w:rFonts w:ascii="Times New Roman" w:eastAsia="Times New Roman" w:hAnsi="Times New Roman" w:cs="Times New Roman"/>
          <w:noProof/>
          <w:sz w:val="22"/>
          <w:szCs w:val="22"/>
          <w:lang w:val="es-CO"/>
        </w:rPr>
        <w:lastRenderedPageBreak/>
        <w:drawing>
          <wp:inline distT="114300" distB="114300" distL="114300" distR="114300" wp14:anchorId="09425C9A" wp14:editId="51E73B36">
            <wp:extent cx="2299803" cy="2063926"/>
            <wp:effectExtent l="0" t="0" r="0" b="0"/>
            <wp:docPr id="179886254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2299803" cy="2063926"/>
                    </a:xfrm>
                    <a:prstGeom prst="rect">
                      <a:avLst/>
                    </a:prstGeom>
                    <a:ln/>
                  </pic:spPr>
                </pic:pic>
              </a:graphicData>
            </a:graphic>
          </wp:inline>
        </w:drawing>
      </w:r>
      <w:r>
        <w:rPr>
          <w:rFonts w:ascii="Times New Roman" w:eastAsia="Times New Roman" w:hAnsi="Times New Roman" w:cs="Times New Roman"/>
          <w:sz w:val="22"/>
          <w:szCs w:val="22"/>
        </w:rPr>
        <w:t xml:space="preserve"> </w:t>
      </w:r>
      <w:r>
        <w:rPr>
          <w:rFonts w:ascii="Times New Roman" w:eastAsia="Times New Roman" w:hAnsi="Times New Roman" w:cs="Times New Roman"/>
          <w:noProof/>
          <w:sz w:val="22"/>
          <w:szCs w:val="22"/>
          <w:lang w:val="es-CO"/>
        </w:rPr>
        <w:drawing>
          <wp:inline distT="114300" distB="114300" distL="114300" distR="114300" wp14:anchorId="2ED77A75" wp14:editId="1B81AD4D">
            <wp:extent cx="2210887" cy="2025835"/>
            <wp:effectExtent l="0" t="0" r="0" b="0"/>
            <wp:docPr id="179886254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2210887" cy="2025835"/>
                    </a:xfrm>
                    <a:prstGeom prst="rect">
                      <a:avLst/>
                    </a:prstGeom>
                    <a:ln/>
                  </pic:spPr>
                </pic:pic>
              </a:graphicData>
            </a:graphic>
          </wp:inline>
        </w:drawing>
      </w:r>
      <w:r>
        <w:rPr>
          <w:rFonts w:ascii="Times New Roman" w:eastAsia="Times New Roman" w:hAnsi="Times New Roman" w:cs="Times New Roman"/>
          <w:sz w:val="22"/>
          <w:szCs w:val="22"/>
        </w:rPr>
        <w:t xml:space="preserve">  </w:t>
      </w:r>
    </w:p>
    <w:p w14:paraId="68D6BF25" w14:textId="77777777" w:rsidR="00E63642" w:rsidRDefault="00E63642">
      <w:pPr>
        <w:spacing w:after="160" w:line="276" w:lineRule="auto"/>
        <w:rPr>
          <w:rFonts w:ascii="Times New Roman" w:eastAsia="Times New Roman" w:hAnsi="Times New Roman" w:cs="Times New Roman"/>
          <w:b/>
          <w:bCs/>
        </w:rPr>
      </w:pPr>
    </w:p>
    <w:p w14:paraId="116FCFC7" w14:textId="2CB850F8" w:rsidR="00E63642" w:rsidRDefault="00E63642">
      <w:pPr>
        <w:jc w:val="both"/>
        <w:rPr>
          <w:rFonts w:ascii="Times New Roman" w:eastAsia="Times New Roman" w:hAnsi="Times New Roman" w:cs="Times New Roman"/>
        </w:rPr>
      </w:pPr>
    </w:p>
    <w:p w14:paraId="0982B6E6" w14:textId="77777777" w:rsidR="00E63642" w:rsidRDefault="00BC177F">
      <w:pPr>
        <w:jc w:val="both"/>
        <w:rPr>
          <w:rFonts w:ascii="Times New Roman" w:eastAsia="Times New Roman" w:hAnsi="Times New Roman" w:cs="Times New Roman"/>
        </w:rPr>
      </w:pPr>
      <w:r>
        <w:rPr>
          <w:rFonts w:ascii="Times New Roman" w:eastAsia="Times New Roman" w:hAnsi="Times New Roman" w:cs="Times New Roman"/>
        </w:rPr>
        <w:t>Cordialmente,</w:t>
      </w:r>
    </w:p>
    <w:p w14:paraId="76AF5278" w14:textId="77777777" w:rsidR="00E63642" w:rsidRDefault="00E63642">
      <w:pPr>
        <w:jc w:val="both"/>
        <w:rPr>
          <w:rFonts w:ascii="Times New Roman" w:eastAsia="Times New Roman" w:hAnsi="Times New Roman" w:cs="Times New Roman"/>
        </w:rPr>
      </w:pPr>
    </w:p>
    <w:p w14:paraId="3EFBB949" w14:textId="77777777" w:rsidR="00E63642" w:rsidRDefault="00E63642">
      <w:pPr>
        <w:jc w:val="both"/>
        <w:rPr>
          <w:rFonts w:ascii="Times New Roman" w:eastAsia="Times New Roman" w:hAnsi="Times New Roman" w:cs="Times New Roman"/>
        </w:rPr>
      </w:pPr>
    </w:p>
    <w:p w14:paraId="59FFEA61" w14:textId="77777777" w:rsidR="00E63642" w:rsidRDefault="00E63642">
      <w:pPr>
        <w:jc w:val="both"/>
        <w:rPr>
          <w:rFonts w:ascii="Times New Roman" w:eastAsia="Times New Roman" w:hAnsi="Times New Roman" w:cs="Times New Roman"/>
        </w:rPr>
      </w:pPr>
    </w:p>
    <w:p w14:paraId="49CF624E" w14:textId="77777777" w:rsidR="00E63642" w:rsidRDefault="00E63642">
      <w:pPr>
        <w:jc w:val="both"/>
        <w:rPr>
          <w:rFonts w:ascii="Times New Roman" w:eastAsia="Times New Roman" w:hAnsi="Times New Roman" w:cs="Times New Roman"/>
        </w:rPr>
      </w:pPr>
    </w:p>
    <w:p w14:paraId="33FB26B9" w14:textId="77777777" w:rsidR="00E63642" w:rsidRDefault="00E63642">
      <w:pPr>
        <w:jc w:val="both"/>
        <w:rPr>
          <w:rFonts w:ascii="Times New Roman" w:eastAsia="Times New Roman" w:hAnsi="Times New Roman" w:cs="Times New Roman"/>
        </w:rPr>
      </w:pPr>
    </w:p>
    <w:p w14:paraId="45095F9F" w14:textId="77777777" w:rsidR="00E63642" w:rsidRDefault="00E63642">
      <w:pPr>
        <w:jc w:val="both"/>
        <w:rPr>
          <w:rFonts w:ascii="Times New Roman" w:eastAsia="Times New Roman" w:hAnsi="Times New Roman" w:cs="Times New Roman"/>
        </w:rPr>
      </w:pPr>
    </w:p>
    <w:p w14:paraId="13A63D7E" w14:textId="77777777" w:rsidR="00E63642" w:rsidRDefault="00BC177F">
      <w:pPr>
        <w:jc w:val="both"/>
        <w:rPr>
          <w:rFonts w:ascii="Times New Roman" w:eastAsia="Times New Roman" w:hAnsi="Times New Roman" w:cs="Times New Roman"/>
          <w:b/>
          <w:bCs/>
        </w:rPr>
      </w:pPr>
      <w:r>
        <w:rPr>
          <w:rFonts w:ascii="Times New Roman" w:eastAsia="Times New Roman" w:hAnsi="Times New Roman" w:cs="Times New Roman"/>
          <w:b/>
          <w:bCs/>
        </w:rPr>
        <w:t>JULIÁN RODRÍGUEZ SASTOQUE</w:t>
      </w:r>
    </w:p>
    <w:p w14:paraId="6B91BF5F" w14:textId="77777777" w:rsidR="00E63642" w:rsidRDefault="00BC177F">
      <w:pPr>
        <w:jc w:val="both"/>
        <w:rPr>
          <w:rFonts w:ascii="Times New Roman" w:eastAsia="Times New Roman" w:hAnsi="Times New Roman" w:cs="Times New Roman"/>
        </w:rPr>
      </w:pPr>
      <w:r>
        <w:rPr>
          <w:rFonts w:ascii="Times New Roman" w:eastAsia="Times New Roman" w:hAnsi="Times New Roman" w:cs="Times New Roman"/>
        </w:rPr>
        <w:t>Concejal de Bogotá D.C.</w:t>
      </w:r>
    </w:p>
    <w:p w14:paraId="51678CFB" w14:textId="77777777" w:rsidR="00E63642" w:rsidRDefault="00BC177F">
      <w:pPr>
        <w:jc w:val="both"/>
        <w:rPr>
          <w:rFonts w:ascii="Times New Roman" w:eastAsia="Times New Roman" w:hAnsi="Times New Roman" w:cs="Times New Roman"/>
        </w:rPr>
      </w:pPr>
      <w:r>
        <w:rPr>
          <w:rFonts w:ascii="Times New Roman" w:eastAsia="Times New Roman" w:hAnsi="Times New Roman" w:cs="Times New Roman"/>
        </w:rPr>
        <w:t>Partido Alianza Verde.</w:t>
      </w:r>
    </w:p>
    <w:p w14:paraId="0C986190" w14:textId="77777777" w:rsidR="00E63642" w:rsidRDefault="00E63642">
      <w:pPr>
        <w:spacing w:after="160" w:line="276" w:lineRule="auto"/>
        <w:jc w:val="both"/>
        <w:rPr>
          <w:rFonts w:ascii="Times New Roman" w:eastAsia="Times New Roman" w:hAnsi="Times New Roman" w:cs="Times New Roman"/>
        </w:rPr>
      </w:pPr>
    </w:p>
    <w:p w14:paraId="4CE385C3" w14:textId="77777777" w:rsidR="00E63642" w:rsidRDefault="00E63642">
      <w:pPr>
        <w:spacing w:after="160" w:line="276" w:lineRule="auto"/>
        <w:jc w:val="both"/>
        <w:rPr>
          <w:rFonts w:ascii="Times New Roman" w:eastAsia="Times New Roman" w:hAnsi="Times New Roman" w:cs="Times New Roman"/>
        </w:rPr>
      </w:pPr>
    </w:p>
    <w:p w14:paraId="47BA1353" w14:textId="77777777" w:rsidR="00B420D1" w:rsidRDefault="00B420D1">
      <w:pPr>
        <w:spacing w:after="160" w:line="276" w:lineRule="auto"/>
        <w:jc w:val="both"/>
        <w:rPr>
          <w:rFonts w:ascii="Times New Roman" w:eastAsia="Times New Roman" w:hAnsi="Times New Roman" w:cs="Times New Roman"/>
        </w:rPr>
      </w:pPr>
    </w:p>
    <w:p w14:paraId="7D593007" w14:textId="77777777" w:rsidR="00B420D1" w:rsidRDefault="00B420D1">
      <w:pPr>
        <w:spacing w:after="160" w:line="276" w:lineRule="auto"/>
        <w:jc w:val="both"/>
        <w:rPr>
          <w:rFonts w:ascii="Times New Roman" w:eastAsia="Times New Roman" w:hAnsi="Times New Roman" w:cs="Times New Roman"/>
        </w:rPr>
      </w:pPr>
    </w:p>
    <w:p w14:paraId="19BBCEF7" w14:textId="77777777" w:rsidR="00B420D1" w:rsidRDefault="00B420D1">
      <w:pPr>
        <w:spacing w:after="160" w:line="276" w:lineRule="auto"/>
        <w:jc w:val="both"/>
        <w:rPr>
          <w:rFonts w:ascii="Times New Roman" w:eastAsia="Times New Roman" w:hAnsi="Times New Roman" w:cs="Times New Roman"/>
        </w:rPr>
      </w:pPr>
    </w:p>
    <w:p w14:paraId="4F8F695F" w14:textId="77777777" w:rsidR="00E63642" w:rsidRDefault="00BC177F">
      <w:pPr>
        <w:spacing w:after="160" w:line="276" w:lineRule="auto"/>
        <w:jc w:val="center"/>
        <w:rPr>
          <w:rFonts w:ascii="Times New Roman" w:eastAsia="Times New Roman" w:hAnsi="Times New Roman" w:cs="Times New Roman"/>
          <w:b/>
          <w:bCs/>
        </w:rPr>
      </w:pPr>
      <w:r>
        <w:rPr>
          <w:rFonts w:ascii="Times New Roman" w:eastAsia="Times New Roman" w:hAnsi="Times New Roman" w:cs="Times New Roman"/>
          <w:b/>
          <w:bCs/>
        </w:rPr>
        <w:t>8. ARTICULADO</w:t>
      </w:r>
    </w:p>
    <w:p w14:paraId="4BCA520E" w14:textId="04B1EF2D" w:rsidR="00E63642" w:rsidRDefault="00BC177F">
      <w:pPr>
        <w:spacing w:after="160" w:line="276" w:lineRule="auto"/>
        <w:jc w:val="center"/>
        <w:rPr>
          <w:rFonts w:ascii="Times New Roman" w:eastAsia="Times New Roman" w:hAnsi="Times New Roman" w:cs="Times New Roman"/>
          <w:b/>
          <w:bCs/>
          <w:i/>
          <w:iCs/>
        </w:rPr>
      </w:pPr>
      <w:r>
        <w:rPr>
          <w:rFonts w:ascii="Times New Roman" w:eastAsia="Times New Roman" w:hAnsi="Times New Roman" w:cs="Times New Roman"/>
          <w:b/>
          <w:bCs/>
          <w:i/>
          <w:iCs/>
        </w:rPr>
        <w:t>PROYECTO DE ACUERDO No. _______ DE 202</w:t>
      </w:r>
      <w:sdt>
        <w:sdtPr>
          <w:tag w:val="goog_rdk_23"/>
          <w:id w:val="-1485037545"/>
        </w:sdtPr>
        <w:sdtEndPr/>
        <w:sdtContent>
          <w:r>
            <w:rPr>
              <w:rFonts w:ascii="Times New Roman" w:eastAsia="Times New Roman" w:hAnsi="Times New Roman" w:cs="Times New Roman"/>
              <w:b/>
              <w:bCs/>
              <w:i/>
              <w:iCs/>
            </w:rPr>
            <w:t>6</w:t>
          </w:r>
        </w:sdtContent>
      </w:sdt>
      <w:sdt>
        <w:sdtPr>
          <w:tag w:val="goog_rdk_24"/>
          <w:id w:val="700087377"/>
          <w:showingPlcHdr/>
        </w:sdtPr>
        <w:sdtEndPr/>
        <w:sdtContent>
          <w:r w:rsidR="005D5F94">
            <w:t xml:space="preserve">     </w:t>
          </w:r>
        </w:sdtContent>
      </w:sdt>
    </w:p>
    <w:p w14:paraId="2BBAB62F" w14:textId="77777777" w:rsidR="00E63642" w:rsidRDefault="00BC177F">
      <w:pPr>
        <w:spacing w:after="160" w:line="276" w:lineRule="auto"/>
        <w:jc w:val="center"/>
        <w:rPr>
          <w:rFonts w:ascii="Times New Roman" w:eastAsia="Times New Roman" w:hAnsi="Times New Roman" w:cs="Times New Roman"/>
        </w:rPr>
      </w:pPr>
      <w:r>
        <w:rPr>
          <w:rFonts w:ascii="Times New Roman" w:eastAsia="Times New Roman" w:hAnsi="Times New Roman" w:cs="Times New Roman"/>
          <w:b/>
          <w:bCs/>
        </w:rPr>
        <w:lastRenderedPageBreak/>
        <w:t>“</w:t>
      </w:r>
      <w:r>
        <w:rPr>
          <w:rFonts w:ascii="Times New Roman" w:eastAsia="Times New Roman" w:hAnsi="Times New Roman" w:cs="Times New Roman"/>
          <w:b/>
          <w:bCs/>
          <w:i/>
          <w:iCs/>
        </w:rPr>
        <w:t>POR MEDIO DEL CUAL SE PROMUEVEN Y FORTALECEN LOS NEGOCIOS LOCALES, EMPRENDIMIENTOS, MIPYMES Y CLUSTER RELACIONADOS CON LA PROTECCIÓN Y BIENESTAR DE ANIMALES DOMÉSTICOS EN EL DISTRITO CAPITAL Y SE DICTAN OTRAS DISPOSICIONES”</w:t>
      </w:r>
    </w:p>
    <w:p w14:paraId="34EBED69" w14:textId="77777777" w:rsidR="00E63642" w:rsidRDefault="00BC177F">
      <w:pPr>
        <w:spacing w:after="160" w:line="276" w:lineRule="auto"/>
        <w:jc w:val="center"/>
        <w:rPr>
          <w:rFonts w:ascii="Times New Roman" w:eastAsia="Times New Roman" w:hAnsi="Times New Roman" w:cs="Times New Roman"/>
          <w:b/>
          <w:bCs/>
        </w:rPr>
      </w:pPr>
      <w:r>
        <w:rPr>
          <w:rFonts w:ascii="Times New Roman" w:eastAsia="Times New Roman" w:hAnsi="Times New Roman" w:cs="Times New Roman"/>
          <w:b/>
          <w:bCs/>
        </w:rPr>
        <w:t>EL CONCEJO DE BOGOTÁ D.C.</w:t>
      </w:r>
    </w:p>
    <w:p w14:paraId="59FFA1CB" w14:textId="77777777" w:rsidR="00E63642" w:rsidRDefault="00BC177F">
      <w:pPr>
        <w:spacing w:after="160" w:line="276" w:lineRule="auto"/>
        <w:jc w:val="center"/>
        <w:rPr>
          <w:rFonts w:ascii="Times New Roman" w:eastAsia="Times New Roman" w:hAnsi="Times New Roman" w:cs="Times New Roman"/>
          <w:b/>
          <w:bCs/>
        </w:rPr>
      </w:pPr>
      <w:r>
        <w:rPr>
          <w:rFonts w:ascii="Times New Roman" w:eastAsia="Times New Roman" w:hAnsi="Times New Roman" w:cs="Times New Roman"/>
          <w:b/>
          <w:bCs/>
        </w:rPr>
        <w:t>En ejercicio de las facultades que le confiere el numeral 1 del artículo 313 de la Constitución Política de Colombia y el numeral 1 del artículo 12 del Decreto Ley 1421 de 1993</w:t>
      </w:r>
    </w:p>
    <w:p w14:paraId="3EEEE1FB" w14:textId="77777777" w:rsidR="00E63642" w:rsidRDefault="00BC177F">
      <w:pPr>
        <w:spacing w:after="160" w:line="276" w:lineRule="auto"/>
        <w:jc w:val="center"/>
        <w:rPr>
          <w:rFonts w:ascii="Times New Roman" w:eastAsia="Times New Roman" w:hAnsi="Times New Roman" w:cs="Times New Roman"/>
          <w:b/>
          <w:bCs/>
        </w:rPr>
      </w:pPr>
      <w:r>
        <w:rPr>
          <w:rFonts w:ascii="Times New Roman" w:eastAsia="Times New Roman" w:hAnsi="Times New Roman" w:cs="Times New Roman"/>
          <w:b/>
          <w:bCs/>
        </w:rPr>
        <w:t>ACUERDA:</w:t>
      </w:r>
    </w:p>
    <w:p w14:paraId="6D602FF9" w14:textId="44B0A89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b/>
          <w:bCs/>
        </w:rPr>
        <w:t xml:space="preserve">ARTÍCULO 1°. OBJETO. </w:t>
      </w:r>
      <w:r>
        <w:rPr>
          <w:rFonts w:ascii="Times New Roman" w:eastAsia="Times New Roman" w:hAnsi="Times New Roman" w:cs="Times New Roman"/>
        </w:rPr>
        <w:t xml:space="preserve">Promover y fortalecer los negocios locales, emprendimientos </w:t>
      </w:r>
      <w:r>
        <w:rPr>
          <w:rFonts w:ascii="Times New Roman" w:eastAsia="Times New Roman" w:hAnsi="Times New Roman" w:cs="Times New Roman"/>
          <w:highlight w:val="white"/>
        </w:rPr>
        <w:t>y</w:t>
      </w:r>
      <w:r>
        <w:rPr>
          <w:rFonts w:ascii="Times New Roman" w:eastAsia="Times New Roman" w:hAnsi="Times New Roman" w:cs="Times New Roman"/>
        </w:rPr>
        <w:t xml:space="preserve"> MIPYMES y </w:t>
      </w:r>
      <w:proofErr w:type="spellStart"/>
      <w:r>
        <w:rPr>
          <w:rFonts w:ascii="Times New Roman" w:eastAsia="Times New Roman" w:hAnsi="Times New Roman" w:cs="Times New Roman"/>
        </w:rPr>
        <w:t>clústers</w:t>
      </w:r>
      <w:proofErr w:type="spellEnd"/>
      <w:r>
        <w:rPr>
          <w:rFonts w:ascii="Times New Roman" w:eastAsia="Times New Roman" w:hAnsi="Times New Roman" w:cs="Times New Roman"/>
        </w:rPr>
        <w:t xml:space="preserve"> </w:t>
      </w:r>
      <w:r>
        <w:rPr>
          <w:rFonts w:ascii="Times New Roman" w:eastAsia="Times New Roman" w:hAnsi="Times New Roman" w:cs="Times New Roman"/>
          <w:highlight w:val="white"/>
        </w:rPr>
        <w:t xml:space="preserve">que ofertan bienes y/o servicios para el bienestar y/o protección de los animales domésticos del </w:t>
      </w:r>
      <w:r>
        <w:rPr>
          <w:rFonts w:ascii="Times New Roman" w:eastAsia="Times New Roman" w:hAnsi="Times New Roman" w:cs="Times New Roman"/>
        </w:rPr>
        <w:t>Distrito Capital de Bogotá, a través de incentivos y estrategias que fomenten la colaboración interinstitucional, el desarrollo económico, las herramientas de formación</w:t>
      </w:r>
      <w:sdt>
        <w:sdtPr>
          <w:tag w:val="goog_rdk_25"/>
          <w:id w:val="1736475937"/>
        </w:sdtPr>
        <w:sdtEndPr/>
        <w:sdtContent>
          <w:r>
            <w:rPr>
              <w:rFonts w:ascii="Times New Roman" w:eastAsia="Times New Roman" w:hAnsi="Times New Roman" w:cs="Times New Roman"/>
            </w:rPr>
            <w:t>,</w:t>
          </w:r>
        </w:sdtContent>
      </w:sdt>
      <w:sdt>
        <w:sdtPr>
          <w:tag w:val="goog_rdk_26"/>
          <w:id w:val="-1741636469"/>
          <w:showingPlcHdr/>
        </w:sdtPr>
        <w:sdtEndPr/>
        <w:sdtContent>
          <w:r w:rsidR="00E976FB">
            <w:t xml:space="preserve">     </w:t>
          </w:r>
        </w:sdtContent>
      </w:sdt>
      <w:r>
        <w:rPr>
          <w:rFonts w:ascii="Times New Roman" w:eastAsia="Times New Roman" w:hAnsi="Times New Roman" w:cs="Times New Roman"/>
        </w:rPr>
        <w:t>la innovación</w:t>
      </w:r>
      <w:sdt>
        <w:sdtPr>
          <w:rPr>
            <w:rFonts w:ascii="Times New Roman" w:eastAsia="Times New Roman" w:hAnsi="Times New Roman" w:cs="Times New Roman"/>
          </w:rPr>
          <w:tag w:val="goog_rdk_27"/>
          <w:id w:val="443447732"/>
        </w:sdtPr>
        <w:sdtEndPr/>
        <w:sdtContent>
          <w:sdt>
            <w:sdtPr>
              <w:rPr>
                <w:rFonts w:ascii="Times New Roman" w:eastAsia="Times New Roman" w:hAnsi="Times New Roman" w:cs="Times New Roman"/>
              </w:rPr>
              <w:tag w:val="goog_rdk_28"/>
              <w:id w:val="-220253685"/>
            </w:sdtPr>
            <w:sdtEndPr/>
            <w:sdtContent>
              <w:r w:rsidRPr="00E976FB">
                <w:rPr>
                  <w:rFonts w:ascii="Times New Roman" w:eastAsia="Times New Roman" w:hAnsi="Times New Roman" w:cs="Times New Roman"/>
                </w:rPr>
                <w:t xml:space="preserve"> </w:t>
              </w:r>
            </w:sdtContent>
          </w:sdt>
          <w:sdt>
            <w:sdtPr>
              <w:rPr>
                <w:rFonts w:ascii="Times New Roman" w:eastAsia="Times New Roman" w:hAnsi="Times New Roman" w:cs="Times New Roman"/>
              </w:rPr>
              <w:tag w:val="goog_rdk_29"/>
              <w:id w:val="-1854120970"/>
            </w:sdtPr>
            <w:sdtEndPr/>
            <w:sdtContent>
              <w:r w:rsidRPr="00E976FB">
                <w:rPr>
                  <w:rFonts w:ascii="Times New Roman" w:eastAsia="Times New Roman" w:hAnsi="Times New Roman" w:cs="Times New Roman"/>
                </w:rPr>
                <w:t>y la promoción de una cultura de bienestar animal</w:t>
              </w:r>
            </w:sdtContent>
          </w:sdt>
        </w:sdtContent>
      </w:sdt>
      <w:sdt>
        <w:sdtPr>
          <w:rPr>
            <w:rFonts w:ascii="Times New Roman" w:eastAsia="Times New Roman" w:hAnsi="Times New Roman" w:cs="Times New Roman"/>
          </w:rPr>
          <w:tag w:val="goog_rdk_30"/>
          <w:id w:val="-1564016701"/>
        </w:sdtPr>
        <w:sdtEndPr/>
        <w:sdtContent>
          <w:r w:rsidR="00E976FB">
            <w:rPr>
              <w:rFonts w:ascii="Times New Roman" w:eastAsia="Times New Roman" w:hAnsi="Times New Roman" w:cs="Times New Roman"/>
            </w:rPr>
            <w:t>.</w:t>
          </w:r>
        </w:sdtContent>
      </w:sdt>
    </w:p>
    <w:p w14:paraId="1E1D62D6" w14:textId="13AED31F"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b/>
          <w:bCs/>
        </w:rPr>
        <w:t>ARTÍCULO 2° ÁMBITO DE APLICACIÓN.</w:t>
      </w:r>
      <w:r>
        <w:rPr>
          <w:rFonts w:ascii="Times New Roman" w:eastAsia="Times New Roman" w:hAnsi="Times New Roman" w:cs="Times New Roman"/>
        </w:rPr>
        <w:t xml:space="preserve"> Este Acuerdo se aplicará a los negocios locales, emprendimientos, MIPYMES y </w:t>
      </w:r>
      <w:proofErr w:type="spellStart"/>
      <w:r>
        <w:rPr>
          <w:rFonts w:ascii="Times New Roman" w:eastAsia="Times New Roman" w:hAnsi="Times New Roman" w:cs="Times New Roman"/>
        </w:rPr>
        <w:t>clústers</w:t>
      </w:r>
      <w:proofErr w:type="spellEnd"/>
      <w:r>
        <w:rPr>
          <w:rFonts w:ascii="Times New Roman" w:eastAsia="Times New Roman" w:hAnsi="Times New Roman" w:cs="Times New Roman"/>
        </w:rPr>
        <w:t xml:space="preserve"> que desarrollen actividades económicas orientadas a la protección, cuidado y bienestar de los animales en el Distrito Capital, incluyendo, pero no limitándose, a: veterinarias,</w:t>
      </w:r>
      <w:sdt>
        <w:sdtPr>
          <w:tag w:val="goog_rdk_31"/>
          <w:id w:val="1099937975"/>
        </w:sdtPr>
        <w:sdtEndPr/>
        <w:sdtContent>
          <w:r>
            <w:rPr>
              <w:rFonts w:ascii="Times New Roman" w:eastAsia="Times New Roman" w:hAnsi="Times New Roman" w:cs="Times New Roman"/>
            </w:rPr>
            <w:t xml:space="preserve"> tiendas para </w:t>
          </w:r>
          <w:r w:rsidR="007B2BA6">
            <w:rPr>
              <w:rFonts w:ascii="Times New Roman" w:eastAsia="Times New Roman" w:hAnsi="Times New Roman" w:cs="Times New Roman"/>
            </w:rPr>
            <w:t>animales de compañía</w:t>
          </w:r>
          <w:r>
            <w:rPr>
              <w:rFonts w:ascii="Times New Roman" w:eastAsia="Times New Roman" w:hAnsi="Times New Roman" w:cs="Times New Roman"/>
            </w:rPr>
            <w:t>,</w:t>
          </w:r>
        </w:sdtContent>
      </w:sdt>
      <w:r>
        <w:rPr>
          <w:rFonts w:ascii="Times New Roman" w:eastAsia="Times New Roman" w:hAnsi="Times New Roman" w:cs="Times New Roman"/>
        </w:rPr>
        <w:t xml:space="preserve"> albergues, </w:t>
      </w:r>
      <w:sdt>
        <w:sdtPr>
          <w:tag w:val="goog_rdk_32"/>
          <w:id w:val="1955411925"/>
        </w:sdtPr>
        <w:sdtEndPr/>
        <w:sdtContent>
          <w:r>
            <w:rPr>
              <w:rFonts w:ascii="Times New Roman" w:eastAsia="Times New Roman" w:hAnsi="Times New Roman" w:cs="Times New Roman"/>
            </w:rPr>
            <w:t xml:space="preserve">redes locales de </w:t>
          </w:r>
          <w:r w:rsidR="007B2BA6">
            <w:rPr>
              <w:rFonts w:ascii="Times New Roman" w:eastAsia="Times New Roman" w:hAnsi="Times New Roman" w:cs="Times New Roman"/>
            </w:rPr>
            <w:t>protección</w:t>
          </w:r>
          <w:r>
            <w:rPr>
              <w:rFonts w:ascii="Times New Roman" w:eastAsia="Times New Roman" w:hAnsi="Times New Roman" w:cs="Times New Roman"/>
            </w:rPr>
            <w:t xml:space="preserve"> animal, </w:t>
          </w:r>
        </w:sdtContent>
      </w:sdt>
      <w:r>
        <w:rPr>
          <w:rFonts w:ascii="Times New Roman" w:eastAsia="Times New Roman" w:hAnsi="Times New Roman" w:cs="Times New Roman"/>
        </w:rPr>
        <w:t>guarderías, centros de entrenamiento, funerarias, venta de servicios y productos para el bienestar animal, centros de adopción y cualquier otro que considere necesario.</w:t>
      </w:r>
    </w:p>
    <w:p w14:paraId="68657D7D" w14:textId="6DB33E68" w:rsidR="00E63642" w:rsidRDefault="00BC177F">
      <w:pPr>
        <w:spacing w:before="240" w:after="240" w:line="276" w:lineRule="auto"/>
        <w:jc w:val="both"/>
        <w:rPr>
          <w:rFonts w:ascii="Times New Roman" w:eastAsia="Times New Roman" w:hAnsi="Times New Roman" w:cs="Times New Roman"/>
        </w:rPr>
      </w:pPr>
      <w:r>
        <w:rPr>
          <w:rFonts w:ascii="Times New Roman" w:eastAsia="Times New Roman" w:hAnsi="Times New Roman" w:cs="Times New Roman"/>
          <w:b/>
          <w:bCs/>
        </w:rPr>
        <w:t xml:space="preserve">Parágrafo. </w:t>
      </w:r>
      <w:r w:rsidR="00E976FB">
        <w:rPr>
          <w:rFonts w:ascii="Times New Roman" w:eastAsia="Times New Roman" w:hAnsi="Times New Roman" w:cs="Times New Roman"/>
        </w:rPr>
        <w:t>E</w:t>
      </w:r>
      <w:r>
        <w:rPr>
          <w:rFonts w:ascii="Times New Roman" w:eastAsia="Times New Roman" w:hAnsi="Times New Roman" w:cs="Times New Roman"/>
        </w:rPr>
        <w:t xml:space="preserve">l presente acuerdo </w:t>
      </w:r>
      <w:r w:rsidR="00E976FB">
        <w:rPr>
          <w:rFonts w:ascii="Times New Roman" w:eastAsia="Times New Roman" w:hAnsi="Times New Roman" w:cs="Times New Roman"/>
        </w:rPr>
        <w:t xml:space="preserve">no </w:t>
      </w:r>
      <w:r>
        <w:rPr>
          <w:rFonts w:ascii="Times New Roman" w:eastAsia="Times New Roman" w:hAnsi="Times New Roman" w:cs="Times New Roman"/>
        </w:rPr>
        <w:t xml:space="preserve">se aplicará a negocios locales, emprendimientos, MIPYMES y </w:t>
      </w:r>
      <w:proofErr w:type="spellStart"/>
      <w:r>
        <w:rPr>
          <w:rFonts w:ascii="Times New Roman" w:eastAsia="Times New Roman" w:hAnsi="Times New Roman" w:cs="Times New Roman"/>
        </w:rPr>
        <w:t>clústers</w:t>
      </w:r>
      <w:proofErr w:type="spellEnd"/>
      <w:r>
        <w:rPr>
          <w:rFonts w:ascii="Times New Roman" w:eastAsia="Times New Roman" w:hAnsi="Times New Roman" w:cs="Times New Roman"/>
        </w:rPr>
        <w:t xml:space="preserve"> relacionados con la venta de animales </w:t>
      </w:r>
      <w:sdt>
        <w:sdtPr>
          <w:tag w:val="goog_rdk_33"/>
          <w:id w:val="-1562339526"/>
        </w:sdtPr>
        <w:sdtEndPr>
          <w:rPr>
            <w:rFonts w:ascii="Times New Roman" w:eastAsia="Times New Roman" w:hAnsi="Times New Roman" w:cs="Times New Roman"/>
          </w:rPr>
        </w:sdtEndPr>
        <w:sdtContent>
          <w:r>
            <w:rPr>
              <w:rFonts w:ascii="Times New Roman" w:eastAsia="Times New Roman" w:hAnsi="Times New Roman" w:cs="Times New Roman"/>
            </w:rPr>
            <w:t xml:space="preserve">vivos </w:t>
          </w:r>
          <w:sdt>
            <w:sdtPr>
              <w:rPr>
                <w:rFonts w:ascii="Times New Roman" w:eastAsia="Times New Roman" w:hAnsi="Times New Roman" w:cs="Times New Roman"/>
              </w:rPr>
              <w:tag w:val="goog_rdk_34"/>
              <w:id w:val="-890382150"/>
            </w:sdtPr>
            <w:sdtEndPr/>
            <w:sdtContent>
              <w:r w:rsidRPr="00E976FB">
                <w:rPr>
                  <w:rFonts w:ascii="Times New Roman" w:eastAsia="Times New Roman" w:hAnsi="Times New Roman" w:cs="Times New Roman"/>
                </w:rPr>
                <w:t>que no cumplan con los protocolos e instrumentos establecidos en el marco del Acuerdo 801 de 2021</w:t>
              </w:r>
            </w:sdtContent>
          </w:sdt>
          <w:r>
            <w:rPr>
              <w:rFonts w:ascii="Times New Roman" w:eastAsia="Times New Roman" w:hAnsi="Times New Roman" w:cs="Times New Roman"/>
            </w:rPr>
            <w:t xml:space="preserve"> </w:t>
          </w:r>
        </w:sdtContent>
      </w:sdt>
      <w:r>
        <w:rPr>
          <w:rFonts w:ascii="Times New Roman" w:eastAsia="Times New Roman" w:hAnsi="Times New Roman" w:cs="Times New Roman"/>
        </w:rPr>
        <w:t xml:space="preserve">o cualquier otra actividad que ponga en riesgo la integridad de la fauna doméstica. </w:t>
      </w:r>
    </w:p>
    <w:p w14:paraId="5D3A747D" w14:textId="7FF91258"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b/>
          <w:bCs/>
        </w:rPr>
        <w:t>ARTÍCULO 2º PROMOCIÓN DE FERIAS DE EMPRENDIMIENTO Y COMPRA LOCAL.</w:t>
      </w:r>
      <w:r>
        <w:rPr>
          <w:rFonts w:ascii="Times New Roman" w:eastAsia="Times New Roman" w:hAnsi="Times New Roman" w:cs="Times New Roman"/>
        </w:rPr>
        <w:t xml:space="preserve"> La Administración Distrital, en cabeza de la Secretaría Distrital de Desarrollo Económico</w:t>
      </w:r>
      <w:r w:rsidR="00E976FB">
        <w:rPr>
          <w:rFonts w:ascii="Times New Roman" w:eastAsia="Times New Roman" w:hAnsi="Times New Roman" w:cs="Times New Roman"/>
        </w:rPr>
        <w:t xml:space="preserve"> en coordinación con el</w:t>
      </w:r>
      <w:r>
        <w:rPr>
          <w:rFonts w:ascii="Times New Roman" w:eastAsia="Times New Roman" w:hAnsi="Times New Roman" w:cs="Times New Roman"/>
        </w:rPr>
        <w:t xml:space="preserve"> Instituto Distrital de Protección y Bienestar Animal</w:t>
      </w:r>
      <w:r w:rsidR="00E976FB">
        <w:rPr>
          <w:rFonts w:ascii="Times New Roman" w:eastAsia="Times New Roman" w:hAnsi="Times New Roman" w:cs="Times New Roman"/>
        </w:rPr>
        <w:t xml:space="preserve"> y </w:t>
      </w:r>
      <w:r>
        <w:rPr>
          <w:rFonts w:ascii="Times New Roman" w:eastAsia="Times New Roman" w:hAnsi="Times New Roman" w:cs="Times New Roman"/>
        </w:rPr>
        <w:t xml:space="preserve">las Alcaldías Locales, propenderá por ofrecer a emprendimientos y MIPYMES locales </w:t>
      </w:r>
      <w:r>
        <w:rPr>
          <w:rFonts w:ascii="Times New Roman" w:eastAsia="Times New Roman" w:hAnsi="Times New Roman" w:cs="Times New Roman"/>
        </w:rPr>
        <w:lastRenderedPageBreak/>
        <w:t xml:space="preserve">relacionados con la protección y bienestar animal, los espacios necesarios para la realización periódica de al menos  una (1) feria, actividad, evento </w:t>
      </w:r>
      <w:r w:rsidR="00E976FB">
        <w:rPr>
          <w:rFonts w:ascii="Times New Roman" w:eastAsia="Times New Roman" w:hAnsi="Times New Roman" w:cs="Times New Roman"/>
        </w:rPr>
        <w:t xml:space="preserve">u </w:t>
      </w:r>
      <w:r>
        <w:rPr>
          <w:rFonts w:ascii="Times New Roman" w:eastAsia="Times New Roman" w:hAnsi="Times New Roman" w:cs="Times New Roman"/>
        </w:rPr>
        <w:t xml:space="preserve"> rueda de negocio para promocionar y vender sus productos y/o  servicios al año. </w:t>
      </w:r>
    </w:p>
    <w:p w14:paraId="2693D20D" w14:textId="77777777" w:rsidR="00E63642" w:rsidRDefault="00E63642">
      <w:pPr>
        <w:spacing w:line="276" w:lineRule="auto"/>
        <w:jc w:val="both"/>
        <w:rPr>
          <w:rFonts w:ascii="Times New Roman" w:eastAsia="Times New Roman" w:hAnsi="Times New Roman" w:cs="Times New Roman"/>
          <w:sz w:val="17"/>
          <w:szCs w:val="17"/>
        </w:rPr>
      </w:pPr>
    </w:p>
    <w:p w14:paraId="73358CF7" w14:textId="57A978F1" w:rsidR="00E63642" w:rsidRPr="00E976FB" w:rsidRDefault="009C65EF">
      <w:pPr>
        <w:spacing w:line="276" w:lineRule="auto"/>
        <w:jc w:val="both"/>
        <w:rPr>
          <w:rFonts w:ascii="Times New Roman" w:eastAsia="Times New Roman" w:hAnsi="Times New Roman" w:cs="Times New Roman"/>
        </w:rPr>
      </w:pPr>
      <w:sdt>
        <w:sdtPr>
          <w:tag w:val="goog_rdk_36"/>
          <w:id w:val="846853463"/>
        </w:sdtPr>
        <w:sdtEndPr/>
        <w:sdtContent>
          <w:r w:rsidR="00BC177F">
            <w:rPr>
              <w:rFonts w:ascii="Times New Roman" w:eastAsia="Times New Roman" w:hAnsi="Times New Roman" w:cs="Times New Roman"/>
              <w:b/>
              <w:bCs/>
            </w:rPr>
            <w:t>ARTÍCULO 4º. CAPACITACIÓN Y ASISTENCIA TÉCNICA.</w:t>
          </w:r>
          <w:r w:rsidR="00BC177F">
            <w:rPr>
              <w:rFonts w:ascii="Times New Roman" w:eastAsia="Times New Roman" w:hAnsi="Times New Roman" w:cs="Times New Roman"/>
            </w:rPr>
            <w:t xml:space="preserve"> </w:t>
          </w:r>
          <w:sdt>
            <w:sdtPr>
              <w:tag w:val="goog_rdk_35"/>
              <w:id w:val="-2088963431"/>
              <w:showingPlcHdr/>
            </w:sdtPr>
            <w:sdtEndPr/>
            <w:sdtContent>
              <w:r w:rsidR="005D5F94">
                <w:t xml:space="preserve">     </w:t>
              </w:r>
            </w:sdtContent>
          </w:sdt>
        </w:sdtContent>
      </w:sdt>
      <w:sdt>
        <w:sdtPr>
          <w:tag w:val="goog_rdk_38"/>
          <w:id w:val="-1610142635"/>
        </w:sdtPr>
        <w:sdtEndPr/>
        <w:sdtContent>
          <w:sdt>
            <w:sdtPr>
              <w:tag w:val="goog_rdk_37"/>
              <w:id w:val="-592580297"/>
            </w:sdtPr>
            <w:sdtEndPr/>
            <w:sdtContent/>
          </w:sdt>
        </w:sdtContent>
      </w:sdt>
      <w:sdt>
        <w:sdtPr>
          <w:tag w:val="goog_rdk_42"/>
          <w:id w:val="-2077555888"/>
        </w:sdtPr>
        <w:sdtEndPr/>
        <w:sdtContent>
          <w:sdt>
            <w:sdtPr>
              <w:tag w:val="goog_rdk_39"/>
              <w:id w:val="1197869140"/>
              <w:showingPlcHdr/>
            </w:sdtPr>
            <w:sdtEndPr/>
            <w:sdtContent>
              <w:r w:rsidR="005D5F94">
                <w:t xml:space="preserve">     </w:t>
              </w:r>
            </w:sdtContent>
          </w:sdt>
          <w:sdt>
            <w:sdtPr>
              <w:tag w:val="goog_rdk_40"/>
              <w:id w:val="351620819"/>
            </w:sdtPr>
            <w:sdtEndPr/>
            <w:sdtContent>
              <w:sdt>
                <w:sdtPr>
                  <w:tag w:val="goog_rdk_41"/>
                  <w:id w:val="-543406656"/>
                </w:sdtPr>
                <w:sdtEndPr/>
                <w:sdtContent>
                  <w:r w:rsidR="00BC177F" w:rsidRPr="00E976FB">
                    <w:rPr>
                      <w:rFonts w:ascii="Times New Roman" w:eastAsia="Times New Roman" w:hAnsi="Times New Roman" w:cs="Times New Roman"/>
                    </w:rPr>
                    <w:t xml:space="preserve"> La Administración Distrital </w:t>
                  </w:r>
                  <w:r w:rsidR="007B2BA6" w:rsidRPr="00E976FB">
                    <w:rPr>
                      <w:rFonts w:ascii="Times New Roman" w:eastAsia="Times New Roman" w:hAnsi="Times New Roman" w:cs="Times New Roman"/>
                    </w:rPr>
                    <w:t>propenderá por brindar</w:t>
                  </w:r>
                  <w:r w:rsidR="00BC177F" w:rsidRPr="00E976FB">
                    <w:rPr>
                      <w:rFonts w:ascii="Times New Roman" w:eastAsia="Times New Roman" w:hAnsi="Times New Roman" w:cs="Times New Roman"/>
                    </w:rPr>
                    <w:t xml:space="preserve"> asistencia técnica y fortalecerá las capacitaciones empresariales a los negocios locales, emprendimientos y MIPYMES que estén relacionados con la protección y bienestar animal esta oferta incluirá orientación en temas como: Tendencias e innovación en el sector, E-</w:t>
                  </w:r>
                  <w:proofErr w:type="spellStart"/>
                  <w:r w:rsidR="00BC177F" w:rsidRPr="00E976FB">
                    <w:rPr>
                      <w:rFonts w:ascii="Times New Roman" w:eastAsia="Times New Roman" w:hAnsi="Times New Roman" w:cs="Times New Roman"/>
                    </w:rPr>
                    <w:t>commerce</w:t>
                  </w:r>
                  <w:proofErr w:type="spellEnd"/>
                  <w:r w:rsidR="00BC177F" w:rsidRPr="00E976FB">
                    <w:rPr>
                      <w:rFonts w:ascii="Times New Roman" w:eastAsia="Times New Roman" w:hAnsi="Times New Roman" w:cs="Times New Roman"/>
                    </w:rPr>
                    <w:t xml:space="preserve"> y estrategias de marketing digital,  atención al cliente y experiencia del usuario, requisitos y trámites de formalización, gestión administrativa y financiera, orientación jurídica, dependiendo de lo requerido por el público objetivo. </w:t>
                  </w:r>
                </w:sdtContent>
              </w:sdt>
            </w:sdtContent>
          </w:sdt>
        </w:sdtContent>
      </w:sdt>
    </w:p>
    <w:sdt>
      <w:sdtPr>
        <w:tag w:val="goog_rdk_45"/>
        <w:id w:val="-695543376"/>
      </w:sdtPr>
      <w:sdtEndPr/>
      <w:sdtContent>
        <w:p w14:paraId="686DC315" w14:textId="77777777" w:rsidR="00E63642" w:rsidRPr="00E976FB" w:rsidRDefault="009C65EF">
          <w:pPr>
            <w:spacing w:line="276" w:lineRule="auto"/>
            <w:jc w:val="both"/>
            <w:rPr>
              <w:rFonts w:ascii="Times New Roman" w:eastAsia="Times New Roman" w:hAnsi="Times New Roman" w:cs="Times New Roman"/>
            </w:rPr>
          </w:pPr>
          <w:sdt>
            <w:sdtPr>
              <w:tag w:val="goog_rdk_43"/>
              <w:id w:val="745276558"/>
            </w:sdtPr>
            <w:sdtEndPr/>
            <w:sdtContent>
              <w:sdt>
                <w:sdtPr>
                  <w:tag w:val="goog_rdk_44"/>
                  <w:id w:val="-3463863"/>
                </w:sdtPr>
                <w:sdtEndPr/>
                <w:sdtContent/>
              </w:sdt>
            </w:sdtContent>
          </w:sdt>
        </w:p>
      </w:sdtContent>
    </w:sdt>
    <w:sdt>
      <w:sdtPr>
        <w:tag w:val="goog_rdk_49"/>
        <w:id w:val="-1854215906"/>
      </w:sdtPr>
      <w:sdtEndPr/>
      <w:sdtContent>
        <w:p w14:paraId="55E1F76F" w14:textId="44C9C58E" w:rsidR="00E63642" w:rsidRPr="00E976FB" w:rsidRDefault="009C65EF">
          <w:pPr>
            <w:spacing w:line="276" w:lineRule="auto"/>
            <w:jc w:val="both"/>
            <w:rPr>
              <w:rFonts w:ascii="Times New Roman" w:eastAsia="Times New Roman" w:hAnsi="Times New Roman" w:cs="Times New Roman"/>
            </w:rPr>
          </w:pPr>
          <w:sdt>
            <w:sdtPr>
              <w:tag w:val="goog_rdk_46"/>
              <w:id w:val="607958577"/>
            </w:sdtPr>
            <w:sdtEndPr/>
            <w:sdtContent>
              <w:sdt>
                <w:sdtPr>
                  <w:tag w:val="goog_rdk_47"/>
                  <w:id w:val="-1169405590"/>
                </w:sdtPr>
                <w:sdtEndPr/>
                <w:sdtContent>
                  <w:r w:rsidR="00BC177F" w:rsidRPr="00E976FB">
                    <w:rPr>
                      <w:rFonts w:ascii="Times New Roman" w:eastAsia="Times New Roman" w:hAnsi="Times New Roman" w:cs="Times New Roman"/>
                      <w:b/>
                      <w:bCs/>
                    </w:rPr>
                    <w:t>Parágrafo 1</w:t>
                  </w:r>
                </w:sdtContent>
              </w:sdt>
              <w:sdt>
                <w:sdtPr>
                  <w:tag w:val="goog_rdk_48"/>
                  <w:id w:val="672115610"/>
                </w:sdtPr>
                <w:sdtEndPr/>
                <w:sdtContent>
                  <w:r w:rsidR="00BC177F" w:rsidRPr="00E976FB">
                    <w:rPr>
                      <w:rFonts w:ascii="Times New Roman" w:eastAsia="Times New Roman" w:hAnsi="Times New Roman" w:cs="Times New Roman"/>
                    </w:rPr>
                    <w:t xml:space="preserve">. La Administración Distrital </w:t>
                  </w:r>
                  <w:r w:rsidR="007B2BA6" w:rsidRPr="00E976FB">
                    <w:rPr>
                      <w:rFonts w:ascii="Times New Roman" w:eastAsia="Times New Roman" w:hAnsi="Times New Roman" w:cs="Times New Roman"/>
                    </w:rPr>
                    <w:t xml:space="preserve">podrá articularse </w:t>
                  </w:r>
                  <w:r w:rsidR="00BC177F" w:rsidRPr="00E976FB">
                    <w:rPr>
                      <w:rFonts w:ascii="Times New Roman" w:eastAsia="Times New Roman" w:hAnsi="Times New Roman" w:cs="Times New Roman"/>
                    </w:rPr>
                    <w:t>con Instituciones de Educación Superior cuando lo considere necesario, con el fin de apoyar las capacitaciones empresariales otorgadas.</w:t>
                  </w:r>
                </w:sdtContent>
              </w:sdt>
            </w:sdtContent>
          </w:sdt>
        </w:p>
      </w:sdtContent>
    </w:sdt>
    <w:sdt>
      <w:sdtPr>
        <w:tag w:val="goog_rdk_52"/>
        <w:id w:val="1326524641"/>
      </w:sdtPr>
      <w:sdtEndPr/>
      <w:sdtContent>
        <w:p w14:paraId="58DE525C" w14:textId="24EBA38B" w:rsidR="00E63642" w:rsidRPr="00E976FB" w:rsidRDefault="009C65EF">
          <w:pPr>
            <w:spacing w:line="276" w:lineRule="auto"/>
            <w:jc w:val="both"/>
            <w:rPr>
              <w:rFonts w:ascii="Times New Roman" w:eastAsia="Times New Roman" w:hAnsi="Times New Roman" w:cs="Times New Roman"/>
            </w:rPr>
          </w:pPr>
          <w:sdt>
            <w:sdtPr>
              <w:tag w:val="goog_rdk_50"/>
              <w:id w:val="1062836551"/>
            </w:sdtPr>
            <w:sdtEndPr/>
            <w:sdtContent>
              <w:sdt>
                <w:sdtPr>
                  <w:tag w:val="goog_rdk_51"/>
                  <w:id w:val="583735987"/>
                  <w:showingPlcHdr/>
                </w:sdtPr>
                <w:sdtEndPr/>
                <w:sdtContent>
                  <w:r w:rsidR="007B2BA6" w:rsidRPr="00E976FB">
                    <w:t xml:space="preserve">     </w:t>
                  </w:r>
                </w:sdtContent>
              </w:sdt>
            </w:sdtContent>
          </w:sdt>
        </w:p>
      </w:sdtContent>
    </w:sdt>
    <w:sdt>
      <w:sdtPr>
        <w:tag w:val="goog_rdk_56"/>
        <w:id w:val="-1332893838"/>
      </w:sdtPr>
      <w:sdtEndPr/>
      <w:sdtContent>
        <w:p w14:paraId="640A88FC" w14:textId="77777777" w:rsidR="00E63642" w:rsidRPr="00E976FB" w:rsidRDefault="009C65EF">
          <w:pPr>
            <w:spacing w:line="276" w:lineRule="auto"/>
            <w:jc w:val="both"/>
            <w:rPr>
              <w:rFonts w:ascii="Times New Roman" w:eastAsia="Times New Roman" w:hAnsi="Times New Roman" w:cs="Times New Roman"/>
            </w:rPr>
          </w:pPr>
          <w:sdt>
            <w:sdtPr>
              <w:tag w:val="goog_rdk_53"/>
              <w:id w:val="1309812718"/>
            </w:sdtPr>
            <w:sdtEndPr/>
            <w:sdtContent>
              <w:sdt>
                <w:sdtPr>
                  <w:tag w:val="goog_rdk_54"/>
                  <w:id w:val="218845567"/>
                </w:sdtPr>
                <w:sdtEndPr/>
                <w:sdtContent>
                  <w:r w:rsidR="00BC177F" w:rsidRPr="00E976FB">
                    <w:rPr>
                      <w:rFonts w:ascii="Times New Roman" w:eastAsia="Times New Roman" w:hAnsi="Times New Roman" w:cs="Times New Roman"/>
                      <w:b/>
                      <w:bCs/>
                    </w:rPr>
                    <w:t xml:space="preserve">Parágrafo 2. </w:t>
                  </w:r>
                </w:sdtContent>
              </w:sdt>
              <w:sdt>
                <w:sdtPr>
                  <w:tag w:val="goog_rdk_55"/>
                  <w:id w:val="-921336611"/>
                </w:sdtPr>
                <w:sdtEndPr/>
                <w:sdtContent>
                  <w:r w:rsidR="00BC177F" w:rsidRPr="00E976FB">
                    <w:rPr>
                      <w:rFonts w:ascii="Times New Roman" w:eastAsia="Times New Roman" w:hAnsi="Times New Roman" w:cs="Times New Roman"/>
                    </w:rPr>
                    <w:t xml:space="preserve">La Administración Distrital podrá impulsar acciones afirmativas orientadas a promover la inclusión de mujeres proteccionistas, jóvenes emprendedores, y demás poblaciones en situación de vulnerabilidad con especial protección constitucional, en las iniciativas destinadas con la protección y bienestar animal. </w:t>
                  </w:r>
                </w:sdtContent>
              </w:sdt>
            </w:sdtContent>
          </w:sdt>
        </w:p>
      </w:sdtContent>
    </w:sdt>
    <w:p w14:paraId="0336052A" w14:textId="77777777" w:rsidR="00E63642" w:rsidRDefault="00E63642">
      <w:pPr>
        <w:spacing w:line="276" w:lineRule="auto"/>
        <w:jc w:val="both"/>
        <w:rPr>
          <w:rFonts w:ascii="Times New Roman" w:eastAsia="Times New Roman" w:hAnsi="Times New Roman" w:cs="Times New Roman"/>
        </w:rPr>
      </w:pPr>
    </w:p>
    <w:p w14:paraId="33DBD95F" w14:textId="6F1BDD4B" w:rsidR="00E63642" w:rsidRDefault="00E63642">
      <w:pPr>
        <w:spacing w:line="276" w:lineRule="auto"/>
        <w:jc w:val="both"/>
        <w:rPr>
          <w:rFonts w:ascii="Times New Roman" w:eastAsia="Times New Roman" w:hAnsi="Times New Roman" w:cs="Times New Roman"/>
          <w:b/>
          <w:bCs/>
        </w:rPr>
      </w:pPr>
    </w:p>
    <w:sdt>
      <w:sdtPr>
        <w:tag w:val="goog_rdk_61"/>
        <w:id w:val="-240364621"/>
      </w:sdtPr>
      <w:sdtEndPr/>
      <w:sdtContent>
        <w:p w14:paraId="142EECB4" w14:textId="3FE87225" w:rsidR="00E63642" w:rsidRDefault="00BC177F">
          <w:pPr>
            <w:spacing w:line="276" w:lineRule="auto"/>
            <w:jc w:val="both"/>
            <w:rPr>
              <w:rFonts w:ascii="Times New Roman" w:eastAsia="Times New Roman" w:hAnsi="Times New Roman" w:cs="Times New Roman"/>
            </w:rPr>
          </w:pPr>
          <w:r>
            <w:rPr>
              <w:rFonts w:ascii="Times New Roman" w:eastAsia="Times New Roman" w:hAnsi="Times New Roman" w:cs="Times New Roman"/>
              <w:b/>
              <w:bCs/>
            </w:rPr>
            <w:t xml:space="preserve">ARTÍCULO 5º. </w:t>
          </w:r>
          <w:r w:rsidR="007B2BA6">
            <w:rPr>
              <w:rFonts w:ascii="Times New Roman" w:eastAsia="Times New Roman" w:hAnsi="Times New Roman" w:cs="Times New Roman"/>
              <w:b/>
              <w:bCs/>
            </w:rPr>
            <w:t>FOMENTO</w:t>
          </w:r>
          <w:r>
            <w:rPr>
              <w:rFonts w:ascii="Times New Roman" w:eastAsia="Times New Roman" w:hAnsi="Times New Roman" w:cs="Times New Roman"/>
              <w:b/>
              <w:bCs/>
            </w:rPr>
            <w:t xml:space="preserve"> E INCENTIVOS. </w:t>
          </w:r>
          <w:r>
            <w:rPr>
              <w:rFonts w:ascii="Times New Roman" w:eastAsia="Times New Roman" w:hAnsi="Times New Roman" w:cs="Times New Roman"/>
            </w:rPr>
            <w:t xml:space="preserve">La Administración Distrital, en cabeza de las entidades competentes, propenderá por la participación activa de los negocios locales, emprendimientos, MIPYMES y </w:t>
          </w:r>
          <w:r>
            <w:rPr>
              <w:rFonts w:ascii="Times New Roman" w:eastAsia="Times New Roman" w:hAnsi="Times New Roman" w:cs="Times New Roman"/>
              <w:i/>
              <w:iCs/>
            </w:rPr>
            <w:t>Clúster Animalista</w:t>
          </w:r>
          <w:r>
            <w:rPr>
              <w:rFonts w:ascii="Times New Roman" w:eastAsia="Times New Roman" w:hAnsi="Times New Roman" w:cs="Times New Roman"/>
            </w:rPr>
            <w:t xml:space="preserve"> que brinden bienes y servicios relacionados con el bienestar y/o protección de los animales domésticos del Distrito Capital </w:t>
          </w:r>
          <w:sdt>
            <w:sdtPr>
              <w:tag w:val="goog_rdk_57"/>
              <w:id w:val="1692473163"/>
              <w:showingPlcHdr/>
            </w:sdtPr>
            <w:sdtEndPr/>
            <w:sdtContent>
              <w:r w:rsidR="005D5F94">
                <w:t xml:space="preserve">     </w:t>
              </w:r>
            </w:sdtContent>
          </w:sdt>
          <w:sdt>
            <w:sdtPr>
              <w:tag w:val="goog_rdk_58"/>
              <w:id w:val="75364347"/>
            </w:sdtPr>
            <w:sdtEndPr/>
            <w:sdtContent>
              <w:r>
                <w:rPr>
                  <w:rFonts w:ascii="Times New Roman" w:eastAsia="Times New Roman" w:hAnsi="Times New Roman" w:cs="Times New Roman"/>
                </w:rPr>
                <w:t xml:space="preserve"> </w:t>
              </w:r>
            </w:sdtContent>
          </w:sdt>
          <w:sdt>
            <w:sdtPr>
              <w:tag w:val="goog_rdk_59"/>
              <w:id w:val="-771845089"/>
            </w:sdtPr>
            <w:sdtEndPr/>
            <w:sdtContent>
              <w:sdt>
                <w:sdtPr>
                  <w:tag w:val="goog_rdk_60"/>
                  <w:id w:val="-243781118"/>
                </w:sdtPr>
                <w:sdtEndPr/>
                <w:sdtContent>
                  <w:r>
                    <w:rPr>
                      <w:rFonts w:ascii="Times New Roman" w:eastAsia="Times New Roman" w:hAnsi="Times New Roman" w:cs="Times New Roman"/>
                    </w:rPr>
                    <w:t>Estas acciones estarán orientadas a facilitar su acceso a líneas de crédito,  asistencia técnica, impulso a la innovación, fomento a la sostenibilidad, participación en ferias y eventos, así como el fortalecimiento del talento local de la ciudad. Lo anterior se llevará a cabo respetando los principios de responsabilidad fiscal, disponibilidad presupuestal y capacidad operativa del Distrito Capital.</w:t>
                  </w:r>
                </w:sdtContent>
              </w:sdt>
            </w:sdtContent>
          </w:sdt>
        </w:p>
      </w:sdtContent>
    </w:sdt>
    <w:p w14:paraId="673B6B0A" w14:textId="77777777" w:rsidR="00E63642" w:rsidRDefault="00E63642">
      <w:pPr>
        <w:spacing w:line="276" w:lineRule="auto"/>
        <w:jc w:val="both"/>
        <w:rPr>
          <w:rFonts w:ascii="Times New Roman" w:eastAsia="Times New Roman" w:hAnsi="Times New Roman" w:cs="Times New Roman"/>
        </w:rPr>
      </w:pPr>
    </w:p>
    <w:p w14:paraId="6D863A91" w14:textId="77777777" w:rsidR="00E63642" w:rsidRDefault="00E63642">
      <w:pPr>
        <w:spacing w:line="276" w:lineRule="auto"/>
        <w:jc w:val="both"/>
        <w:rPr>
          <w:rFonts w:ascii="Times New Roman" w:eastAsia="Times New Roman" w:hAnsi="Times New Roman" w:cs="Times New Roman"/>
        </w:rPr>
      </w:pPr>
    </w:p>
    <w:p w14:paraId="5181C802" w14:textId="536FC16B" w:rsidR="00E63642" w:rsidRDefault="00BC177F">
      <w:pPr>
        <w:spacing w:line="276" w:lineRule="auto"/>
        <w:jc w:val="both"/>
        <w:rPr>
          <w:rFonts w:ascii="Times New Roman" w:eastAsia="Times New Roman" w:hAnsi="Times New Roman" w:cs="Times New Roman"/>
        </w:rPr>
      </w:pPr>
      <w:r>
        <w:rPr>
          <w:rFonts w:ascii="Times New Roman" w:eastAsia="Times New Roman" w:hAnsi="Times New Roman" w:cs="Times New Roman"/>
          <w:b/>
          <w:bCs/>
        </w:rPr>
        <w:t xml:space="preserve">ARTÍCULO 7º. FORTALECIMIENTO A LA INNOVACIÓN. </w:t>
      </w:r>
      <w:r>
        <w:rPr>
          <w:rFonts w:ascii="Times New Roman" w:eastAsia="Times New Roman" w:hAnsi="Times New Roman" w:cs="Times New Roman"/>
        </w:rPr>
        <w:t xml:space="preserve">La Administración Distrital, en articulación con las entidades que considere competentes, </w:t>
      </w:r>
      <w:sdt>
        <w:sdtPr>
          <w:tag w:val="goog_rdk_62"/>
          <w:id w:val="-1389197638"/>
        </w:sdtPr>
        <w:sdtEndPr/>
        <w:sdtContent>
          <w:r>
            <w:rPr>
              <w:rFonts w:ascii="Times New Roman" w:eastAsia="Times New Roman" w:hAnsi="Times New Roman" w:cs="Times New Roman"/>
            </w:rPr>
            <w:t xml:space="preserve">propenderá por promover e incentivar </w:t>
          </w:r>
        </w:sdtContent>
      </w:sdt>
      <w:sdt>
        <w:sdtPr>
          <w:tag w:val="goog_rdk_63"/>
          <w:id w:val="-1242537973"/>
          <w:showingPlcHdr/>
        </w:sdtPr>
        <w:sdtEndPr/>
        <w:sdtContent>
          <w:r w:rsidR="005D5F94">
            <w:t xml:space="preserve">     </w:t>
          </w:r>
        </w:sdtContent>
      </w:sdt>
      <w:r>
        <w:rPr>
          <w:rFonts w:ascii="Times New Roman" w:eastAsia="Times New Roman" w:hAnsi="Times New Roman" w:cs="Times New Roman"/>
        </w:rPr>
        <w:t xml:space="preserve"> la innovación en los emprendimientos que ofrecen bienes y servicios vinculados a la atención de primeros auxilios veterinarios, nutrición y dietética animal, recreación, deporte y cualquier otra actividad innovadora relacionada con la salud y bienestar animal. </w:t>
      </w:r>
    </w:p>
    <w:p w14:paraId="7AE2CDF6" w14:textId="77777777" w:rsidR="00E63642" w:rsidRDefault="00E63642">
      <w:pPr>
        <w:spacing w:line="276" w:lineRule="auto"/>
        <w:jc w:val="both"/>
        <w:rPr>
          <w:rFonts w:ascii="Times New Roman" w:eastAsia="Times New Roman" w:hAnsi="Times New Roman" w:cs="Times New Roman"/>
        </w:rPr>
      </w:pPr>
    </w:p>
    <w:p w14:paraId="6A046361" w14:textId="427BEEA2" w:rsidR="00E63642" w:rsidRDefault="00BC177F">
      <w:pPr>
        <w:spacing w:line="276" w:lineRule="auto"/>
        <w:jc w:val="both"/>
        <w:rPr>
          <w:rFonts w:ascii="Times New Roman" w:eastAsia="Times New Roman" w:hAnsi="Times New Roman" w:cs="Times New Roman"/>
        </w:rPr>
      </w:pPr>
      <w:r>
        <w:rPr>
          <w:rFonts w:ascii="Times New Roman" w:eastAsia="Times New Roman" w:hAnsi="Times New Roman" w:cs="Times New Roman"/>
          <w:b/>
          <w:bCs/>
        </w:rPr>
        <w:t xml:space="preserve">Parágrafo. </w:t>
      </w:r>
      <w:r>
        <w:rPr>
          <w:rFonts w:ascii="Times New Roman" w:eastAsia="Times New Roman" w:hAnsi="Times New Roman" w:cs="Times New Roman"/>
        </w:rPr>
        <w:t xml:space="preserve">Con el fin de cumplir lo dispuesto en el presente artículo, la Administración Distrital </w:t>
      </w:r>
      <w:sdt>
        <w:sdtPr>
          <w:tag w:val="goog_rdk_64"/>
          <w:id w:val="1217327844"/>
        </w:sdtPr>
        <w:sdtEndPr/>
        <w:sdtContent>
          <w:r>
            <w:rPr>
              <w:rFonts w:ascii="Times New Roman" w:eastAsia="Times New Roman" w:hAnsi="Times New Roman" w:cs="Times New Roman"/>
            </w:rPr>
            <w:t xml:space="preserve">podrá implementar </w:t>
          </w:r>
        </w:sdtContent>
      </w:sdt>
      <w:sdt>
        <w:sdtPr>
          <w:tag w:val="goog_rdk_65"/>
          <w:id w:val="-1251996429"/>
          <w:showingPlcHdr/>
        </w:sdtPr>
        <w:sdtEndPr/>
        <w:sdtContent>
          <w:r w:rsidR="00E976FB">
            <w:t xml:space="preserve">     </w:t>
          </w:r>
        </w:sdtContent>
      </w:sdt>
      <w:r>
        <w:rPr>
          <w:rFonts w:ascii="Times New Roman" w:eastAsia="Times New Roman" w:hAnsi="Times New Roman" w:cs="Times New Roman"/>
        </w:rPr>
        <w:t xml:space="preserve"> estrategias dirigidas al desarrollo de nuevas tecnologías, procesos y modelos de negocio que mejoren la calidad y eficiencia de dichos servicios.</w:t>
      </w:r>
    </w:p>
    <w:p w14:paraId="45657ABF" w14:textId="77777777" w:rsidR="00E63642" w:rsidRDefault="00E63642">
      <w:pPr>
        <w:spacing w:line="276" w:lineRule="auto"/>
        <w:jc w:val="both"/>
        <w:rPr>
          <w:rFonts w:ascii="Times New Roman" w:eastAsia="Times New Roman" w:hAnsi="Times New Roman" w:cs="Times New Roman"/>
        </w:rPr>
      </w:pPr>
    </w:p>
    <w:p w14:paraId="6122CA8D" w14:textId="12D92D30" w:rsidR="00E63642" w:rsidRDefault="00BC177F">
      <w:pPr>
        <w:spacing w:line="276" w:lineRule="auto"/>
        <w:jc w:val="both"/>
        <w:rPr>
          <w:rFonts w:ascii="Times New Roman" w:eastAsia="Times New Roman" w:hAnsi="Times New Roman" w:cs="Times New Roman"/>
        </w:rPr>
      </w:pPr>
      <w:r>
        <w:rPr>
          <w:rFonts w:ascii="Times New Roman" w:eastAsia="Times New Roman" w:hAnsi="Times New Roman" w:cs="Times New Roman"/>
          <w:b/>
          <w:bCs/>
        </w:rPr>
        <w:t>ARTÍCULO 8º. CARACTERIZACIÓN DE CLÚSTER ANIMALISTAS.</w:t>
      </w:r>
      <w:r>
        <w:rPr>
          <w:rFonts w:ascii="Times New Roman" w:eastAsia="Times New Roman" w:hAnsi="Times New Roman" w:cs="Times New Roman"/>
        </w:rPr>
        <w:t xml:space="preserve"> La Administración Distrital, en coordinación con las entidades competentes,</w:t>
      </w:r>
      <w:sdt>
        <w:sdtPr>
          <w:tag w:val="goog_rdk_66"/>
          <w:id w:val="-1775564638"/>
        </w:sdtPr>
        <w:sdtEndPr/>
        <w:sdtContent>
          <w:r>
            <w:rPr>
              <w:rFonts w:ascii="Times New Roman" w:eastAsia="Times New Roman" w:hAnsi="Times New Roman" w:cs="Times New Roman"/>
            </w:rPr>
            <w:t xml:space="preserve"> y en articulación con la Cámara de Comercio promoverá</w:t>
          </w:r>
        </w:sdtContent>
      </w:sdt>
      <w:sdt>
        <w:sdtPr>
          <w:tag w:val="goog_rdk_67"/>
          <w:id w:val="60927421"/>
          <w:showingPlcHdr/>
        </w:sdtPr>
        <w:sdtEndPr/>
        <w:sdtContent>
          <w:r w:rsidR="005D5F94">
            <w:t xml:space="preserve">     </w:t>
          </w:r>
        </w:sdtContent>
      </w:sdt>
      <w:r>
        <w:rPr>
          <w:rFonts w:ascii="Times New Roman" w:eastAsia="Times New Roman" w:hAnsi="Times New Roman" w:cs="Times New Roman"/>
        </w:rPr>
        <w:t xml:space="preserve"> las gestiones necesarias para la caracterización de los </w:t>
      </w:r>
      <w:r w:rsidR="00E976FB">
        <w:rPr>
          <w:rFonts w:ascii="Times New Roman" w:eastAsia="Times New Roman" w:hAnsi="Times New Roman" w:cs="Times New Roman"/>
        </w:rPr>
        <w:t>clústeres</w:t>
      </w:r>
      <w:r>
        <w:rPr>
          <w:rFonts w:ascii="Times New Roman" w:eastAsia="Times New Roman" w:hAnsi="Times New Roman" w:cs="Times New Roman"/>
        </w:rPr>
        <w:t xml:space="preserve"> Animalistas de Bogotá, la cual permitirá la identificación y articulación de personas, emprendimientos, MIPYMES y organizaciones en materia de cooperación, gestión, comunicación, intercambio de información y capacitación en torno al bienestar y la protección animal en la ciudad. </w:t>
      </w:r>
      <w:sdt>
        <w:sdtPr>
          <w:tag w:val="goog_rdk_68"/>
          <w:id w:val="-296968353"/>
          <w:showingPlcHdr/>
        </w:sdtPr>
        <w:sdtEndPr/>
        <w:sdtContent>
          <w:r w:rsidR="005D5F94">
            <w:t xml:space="preserve">     </w:t>
          </w:r>
        </w:sdtContent>
      </w:sdt>
    </w:p>
    <w:p w14:paraId="0EC162E9" w14:textId="77777777" w:rsidR="00E63642" w:rsidRDefault="00E63642">
      <w:pPr>
        <w:spacing w:line="276" w:lineRule="auto"/>
        <w:jc w:val="both"/>
        <w:rPr>
          <w:rFonts w:ascii="Times New Roman" w:eastAsia="Times New Roman" w:hAnsi="Times New Roman" w:cs="Times New Roman"/>
        </w:rPr>
      </w:pPr>
    </w:p>
    <w:p w14:paraId="2BFC3666"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b/>
          <w:bCs/>
        </w:rPr>
        <w:t>ARTÍCULO 9°. DIVULGACIÓN.</w:t>
      </w:r>
      <w:r>
        <w:rPr>
          <w:rFonts w:ascii="Times New Roman" w:eastAsia="Times New Roman" w:hAnsi="Times New Roman" w:cs="Times New Roman"/>
        </w:rPr>
        <w:t xml:space="preserve"> La Administración Distrital establecerá una campaña masiva de comunicación de los contenidos y alcances del presente Acuerdo, así como los diferentes programas, proyectos y/u oferta institucional derivada de su implementación.</w:t>
      </w:r>
    </w:p>
    <w:p w14:paraId="05BFB1E9"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b/>
          <w:bCs/>
        </w:rPr>
        <w:t xml:space="preserve">ARTÍCULO 10°. REGLAMENTACIÓN E IMPLEMENTACIÓN. </w:t>
      </w:r>
      <w:r>
        <w:rPr>
          <w:rFonts w:ascii="Times New Roman" w:eastAsia="Times New Roman" w:hAnsi="Times New Roman" w:cs="Times New Roman"/>
        </w:rPr>
        <w:t>La Administración Distrital, en cabeza de las entidades competentes, reglamentará las disposiciones normativas del presente Acuerdo en un plazo no superior a los seis (6) meses siguientes a su entrada en vigencia.</w:t>
      </w:r>
    </w:p>
    <w:p w14:paraId="2618FCBB" w14:textId="77777777" w:rsidR="00E63642" w:rsidRDefault="00BC177F">
      <w:pPr>
        <w:spacing w:after="160" w:line="276" w:lineRule="auto"/>
        <w:jc w:val="both"/>
        <w:rPr>
          <w:rFonts w:ascii="Times New Roman" w:eastAsia="Times New Roman" w:hAnsi="Times New Roman" w:cs="Times New Roman"/>
        </w:rPr>
      </w:pPr>
      <w:r>
        <w:rPr>
          <w:rFonts w:ascii="Times New Roman" w:eastAsia="Times New Roman" w:hAnsi="Times New Roman" w:cs="Times New Roman"/>
          <w:b/>
          <w:bCs/>
        </w:rPr>
        <w:t xml:space="preserve">Parágrafo. </w:t>
      </w:r>
      <w:r>
        <w:rPr>
          <w:rFonts w:ascii="Times New Roman" w:eastAsia="Times New Roman" w:hAnsi="Times New Roman" w:cs="Times New Roman"/>
        </w:rPr>
        <w:t xml:space="preserve">La Administración Distrital promoverá la participación de los emprendimientos y empresas relacionados con el bienestar y protección animal, así como del </w:t>
      </w:r>
      <w:proofErr w:type="spellStart"/>
      <w:r>
        <w:rPr>
          <w:rFonts w:ascii="Times New Roman" w:eastAsia="Times New Roman" w:hAnsi="Times New Roman" w:cs="Times New Roman"/>
        </w:rPr>
        <w:t>Cluster</w:t>
      </w:r>
      <w:proofErr w:type="spellEnd"/>
      <w:r>
        <w:rPr>
          <w:rFonts w:ascii="Times New Roman" w:eastAsia="Times New Roman" w:hAnsi="Times New Roman" w:cs="Times New Roman"/>
        </w:rPr>
        <w:t xml:space="preserve"> Animalista de la Cámara de Comercio de Bogotá en la reglamentación e implementación de las disposiciones normativas del presente Acuerdo.</w:t>
      </w:r>
    </w:p>
    <w:p w14:paraId="27A4578B" w14:textId="77777777" w:rsidR="00E63642" w:rsidRDefault="00BC177F">
      <w:pPr>
        <w:spacing w:after="160" w:line="276" w:lineRule="auto"/>
        <w:jc w:val="both"/>
        <w:rPr>
          <w:rFonts w:ascii="Times New Roman" w:eastAsia="Times New Roman" w:hAnsi="Times New Roman" w:cs="Times New Roman"/>
          <w:sz w:val="18"/>
          <w:szCs w:val="18"/>
        </w:rPr>
      </w:pPr>
      <w:r>
        <w:rPr>
          <w:rFonts w:ascii="Times New Roman" w:eastAsia="Times New Roman" w:hAnsi="Times New Roman" w:cs="Times New Roman"/>
          <w:b/>
          <w:bCs/>
        </w:rPr>
        <w:lastRenderedPageBreak/>
        <w:t xml:space="preserve">ARTÍCULO 11°. VIGENCIA. </w:t>
      </w:r>
      <w:r>
        <w:rPr>
          <w:rFonts w:ascii="Times New Roman" w:eastAsia="Times New Roman" w:hAnsi="Times New Roman" w:cs="Times New Roman"/>
        </w:rPr>
        <w:t>El presente Acuerdo rige a partir de la fecha de su publicación.</w:t>
      </w:r>
    </w:p>
    <w:p w14:paraId="66BF3F84" w14:textId="77777777" w:rsidR="00E63642" w:rsidRDefault="00BC177F">
      <w:pPr>
        <w:spacing w:after="16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b/>
          <w:bCs/>
        </w:rPr>
        <w:t>PUBLÍQUESE Y CÚMPLASE</w:t>
      </w:r>
    </w:p>
    <w:sectPr w:rsidR="00E63642">
      <w:headerReference w:type="default" r:id="rId19"/>
      <w:footerReference w:type="even" r:id="rId20"/>
      <w:footerReference w:type="default" r:id="rId21"/>
      <w:pgSz w:w="12242" w:h="15842"/>
      <w:pgMar w:top="1700" w:right="1615" w:bottom="1700" w:left="1700" w:header="709"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568FD0" w14:textId="77777777" w:rsidR="00BC177F" w:rsidRDefault="00BC177F">
      <w:r>
        <w:separator/>
      </w:r>
    </w:p>
  </w:endnote>
  <w:endnote w:type="continuationSeparator" w:id="0">
    <w:p w14:paraId="64B6E73E" w14:textId="77777777" w:rsidR="00BC177F" w:rsidRDefault="00BC17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717A1151-4FBC-474F-8153-D0DD06095CF8}"/>
  </w:font>
  <w:font w:name="Georgia">
    <w:panose1 w:val="02040502050405020303"/>
    <w:charset w:val="00"/>
    <w:family w:val="roman"/>
    <w:pitch w:val="variable"/>
    <w:sig w:usb0="00000287" w:usb1="00000000" w:usb2="00000000" w:usb3="00000000" w:csb0="0000009F" w:csb1="00000000"/>
    <w:embedItalic r:id="rId2" w:fontKey="{A58B53F3-41F7-4A3E-92A8-7AF6C0F5BB49}"/>
  </w:font>
  <w:font w:name="Segoe UI">
    <w:panose1 w:val="020B0502040204020203"/>
    <w:charset w:val="00"/>
    <w:family w:val="swiss"/>
    <w:pitch w:val="variable"/>
    <w:sig w:usb0="E4002EFF" w:usb1="C000E47F" w:usb2="00000009" w:usb3="00000000" w:csb0="000001FF" w:csb1="00000000"/>
    <w:embedRegular r:id="rId3" w:fontKey="{AA9EBA5D-293B-42E7-BAA7-9442E43C46C5}"/>
  </w:font>
  <w:font w:name="Aptos">
    <w:altName w:val="Arial"/>
    <w:charset w:val="00"/>
    <w:family w:val="swiss"/>
    <w:pitch w:val="variable"/>
    <w:sig w:usb0="20000287" w:usb1="00000003" w:usb2="00000000" w:usb3="00000000" w:csb0="0000019F" w:csb1="00000000"/>
    <w:embedRegular r:id="rId4" w:fontKey="{95F258D3-F40B-4B5A-B088-893FC7725799}"/>
  </w:font>
  <w:font w:name="Roboto">
    <w:altName w:val="Times New Roman"/>
    <w:charset w:val="00"/>
    <w:family w:val="auto"/>
    <w:pitch w:val="variable"/>
    <w:sig w:usb0="E0000AFF" w:usb1="5000217F" w:usb2="00000021" w:usb3="00000000" w:csb0="0000019F" w:csb1="00000000"/>
    <w:embedRegular r:id="rId5" w:fontKey="{808A08F8-AF38-4467-9ADF-E4C4F63107B5}"/>
  </w:font>
  <w:font w:name="Bookman Old Style">
    <w:panose1 w:val="02050604050505020204"/>
    <w:charset w:val="00"/>
    <w:family w:val="roman"/>
    <w:pitch w:val="variable"/>
    <w:sig w:usb0="00000287" w:usb1="00000000" w:usb2="00000000" w:usb3="00000000" w:csb0="0000009F" w:csb1="00000000"/>
    <w:embedRegular r:id="rId6" w:fontKey="{D8B63B5F-6A37-416D-8641-D219208A4DCD}"/>
  </w:font>
  <w:font w:name="Calibri">
    <w:panose1 w:val="020F0502020204030204"/>
    <w:charset w:val="00"/>
    <w:family w:val="swiss"/>
    <w:pitch w:val="variable"/>
    <w:sig w:usb0="E4002EFF" w:usb1="C000247B" w:usb2="00000009" w:usb3="00000000" w:csb0="000001FF" w:csb1="00000000"/>
    <w:embedRegular r:id="rId7" w:fontKey="{ABEDCD90-0015-404B-A5D0-B124090C7402}"/>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BC4409" w14:textId="77777777" w:rsidR="00E63642" w:rsidRDefault="00BC177F">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14:paraId="378AD2F4" w14:textId="77777777" w:rsidR="00E63642" w:rsidRDefault="00E63642">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6A6946" w14:textId="77777777" w:rsidR="00E63642" w:rsidRDefault="00E63642">
    <w:pPr>
      <w:pBdr>
        <w:top w:val="nil"/>
        <w:left w:val="nil"/>
        <w:bottom w:val="nil"/>
        <w:right w:val="nil"/>
        <w:between w:val="nil"/>
      </w:pBdr>
      <w:tabs>
        <w:tab w:val="center" w:pos="4252"/>
        <w:tab w:val="right" w:pos="8504"/>
      </w:tabs>
      <w:jc w:val="center"/>
      <w:rPr>
        <w:color w:val="000000"/>
        <w:sz w:val="18"/>
        <w:szCs w:val="18"/>
      </w:rPr>
    </w:pPr>
  </w:p>
  <w:p w14:paraId="4555589A" w14:textId="77777777" w:rsidR="00E63642" w:rsidRDefault="00E63642">
    <w:pPr>
      <w:pBdr>
        <w:top w:val="nil"/>
        <w:left w:val="nil"/>
        <w:bottom w:val="nil"/>
        <w:right w:val="nil"/>
        <w:between w:val="nil"/>
      </w:pBdr>
      <w:tabs>
        <w:tab w:val="center" w:pos="4252"/>
        <w:tab w:val="right" w:pos="8504"/>
      </w:tabs>
      <w:jc w:val="center"/>
      <w:rPr>
        <w:color w:val="000000"/>
        <w:sz w:val="18"/>
        <w:szCs w:val="18"/>
      </w:rPr>
    </w:pPr>
  </w:p>
  <w:p w14:paraId="7634F24B" w14:textId="77777777" w:rsidR="00E63642" w:rsidRDefault="00E63642">
    <w:pPr>
      <w:pBdr>
        <w:top w:val="nil"/>
        <w:left w:val="nil"/>
        <w:bottom w:val="nil"/>
        <w:right w:val="nil"/>
        <w:between w:val="nil"/>
      </w:pBdr>
      <w:tabs>
        <w:tab w:val="center" w:pos="4252"/>
        <w:tab w:val="right" w:pos="8504"/>
      </w:tabs>
      <w:jc w:val="center"/>
      <w:rPr>
        <w:color w:val="000000"/>
        <w:sz w:val="16"/>
        <w:szCs w:val="16"/>
      </w:rPr>
    </w:pPr>
  </w:p>
  <w:p w14:paraId="68402C18" w14:textId="77777777" w:rsidR="00E63642" w:rsidRDefault="00E63642">
    <w:pPr>
      <w:pBdr>
        <w:top w:val="nil"/>
        <w:left w:val="nil"/>
        <w:bottom w:val="nil"/>
        <w:right w:val="nil"/>
        <w:between w:val="nil"/>
      </w:pBdr>
      <w:tabs>
        <w:tab w:val="center" w:pos="4252"/>
        <w:tab w:val="right" w:pos="8504"/>
      </w:tabs>
      <w:rPr>
        <w:color w:val="000000"/>
        <w:sz w:val="16"/>
        <w:szCs w:val="16"/>
      </w:rPr>
    </w:pPr>
  </w:p>
  <w:p w14:paraId="00E87083" w14:textId="77777777" w:rsidR="00E63642" w:rsidRDefault="00E63642">
    <w:pPr>
      <w:pBdr>
        <w:top w:val="nil"/>
        <w:left w:val="nil"/>
        <w:bottom w:val="nil"/>
        <w:right w:val="nil"/>
        <w:between w:val="nil"/>
      </w:pBdr>
      <w:tabs>
        <w:tab w:val="center" w:pos="4252"/>
        <w:tab w:val="right" w:pos="8504"/>
      </w:tabs>
      <w:rPr>
        <w:color w:val="000000"/>
        <w:sz w:val="16"/>
        <w:szCs w:val="16"/>
      </w:rPr>
    </w:pPr>
  </w:p>
  <w:p w14:paraId="7030F242" w14:textId="77777777" w:rsidR="00E63642" w:rsidRDefault="00E63642">
    <w:pPr>
      <w:jc w:val="right"/>
      <w:rPr>
        <w:b/>
        <w:bCs/>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00D699" w14:textId="77777777" w:rsidR="00BC177F" w:rsidRDefault="00BC177F">
      <w:r>
        <w:separator/>
      </w:r>
    </w:p>
  </w:footnote>
  <w:footnote w:type="continuationSeparator" w:id="0">
    <w:p w14:paraId="09EA964F" w14:textId="77777777" w:rsidR="00BC177F" w:rsidRDefault="00BC177F">
      <w:r>
        <w:continuationSeparator/>
      </w:r>
    </w:p>
  </w:footnote>
  <w:footnote w:id="1">
    <w:p w14:paraId="7FF517A7"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Departamento Administrativo Nacional de Estadística (DANE). (2024). </w:t>
      </w:r>
      <w:r>
        <w:rPr>
          <w:rFonts w:ascii="Times New Roman" w:eastAsia="Times New Roman" w:hAnsi="Times New Roman" w:cs="Times New Roman"/>
          <w:i/>
          <w:iCs/>
          <w:sz w:val="20"/>
          <w:szCs w:val="20"/>
        </w:rPr>
        <w:t xml:space="preserve">Información histórica sobre el crecimiento del PIB en Bogotá – DANE. </w:t>
      </w:r>
      <w:r>
        <w:rPr>
          <w:rFonts w:ascii="Times New Roman" w:eastAsia="Times New Roman" w:hAnsi="Times New Roman" w:cs="Times New Roman"/>
          <w:sz w:val="20"/>
          <w:szCs w:val="20"/>
        </w:rPr>
        <w:t>Bogotá, Colombia. Recuperado de:</w:t>
      </w:r>
      <w:r>
        <w:rPr>
          <w:rFonts w:ascii="Times New Roman" w:eastAsia="Times New Roman" w:hAnsi="Times New Roman" w:cs="Times New Roman"/>
          <w:i/>
          <w:iCs/>
          <w:sz w:val="20"/>
          <w:szCs w:val="20"/>
        </w:rPr>
        <w:t xml:space="preserve"> </w:t>
      </w:r>
      <w:hyperlink r:id="rId1">
        <w:r w:rsidR="00E63642">
          <w:rPr>
            <w:rFonts w:ascii="Times New Roman" w:eastAsia="Times New Roman" w:hAnsi="Times New Roman" w:cs="Times New Roman"/>
            <w:color w:val="467886"/>
            <w:sz w:val="20"/>
            <w:szCs w:val="20"/>
            <w:u w:val="single"/>
          </w:rPr>
          <w:t>https://www.dane.gov.co/index.php/estadisticas-por-tema/cuentas-nacionales/cuentas-nacionales-departamentales/cuentas-nacionales-departamentales-pib-trimestral-bogota-d-c/cuentas-nacionales-departamentales-pib-trimestral-bogota-d-c-historicos</w:t>
        </w:r>
      </w:hyperlink>
      <w:r>
        <w:rPr>
          <w:rFonts w:ascii="Times New Roman" w:eastAsia="Times New Roman" w:hAnsi="Times New Roman" w:cs="Times New Roman"/>
          <w:sz w:val="20"/>
          <w:szCs w:val="20"/>
        </w:rPr>
        <w:t xml:space="preserve"> </w:t>
      </w:r>
    </w:p>
  </w:footnote>
  <w:footnote w:id="2">
    <w:p w14:paraId="7899567A"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Secretaría Distrital de Desarrollo Económico de Bogotá. (2024). </w:t>
      </w:r>
      <w:r>
        <w:rPr>
          <w:rFonts w:ascii="Times New Roman" w:eastAsia="Times New Roman" w:hAnsi="Times New Roman" w:cs="Times New Roman"/>
          <w:i/>
          <w:iCs/>
          <w:sz w:val="20"/>
          <w:szCs w:val="20"/>
        </w:rPr>
        <w:t xml:space="preserve">Al cierre de 2023, la economía en Bogotá creció 0,6 %, el mismo porcentaje de crecimiento en el país. </w:t>
      </w:r>
      <w:r>
        <w:rPr>
          <w:rFonts w:ascii="Times New Roman" w:eastAsia="Times New Roman" w:hAnsi="Times New Roman" w:cs="Times New Roman"/>
          <w:sz w:val="20"/>
          <w:szCs w:val="20"/>
        </w:rPr>
        <w:t xml:space="preserve">Bogotá, Colombia: Observatorio de Desarrollo Económico. Recuperado de: </w:t>
      </w:r>
      <w:hyperlink r:id="rId2" w:anchor=":~:text=En%202023%20el%20Producto%20Interno,Secretar%C3%ADa%20Distrital%20de%20Desarrollo%20Econ%C3%B3mico">
        <w:r w:rsidR="00E63642">
          <w:rPr>
            <w:rFonts w:ascii="Times New Roman" w:eastAsia="Times New Roman" w:hAnsi="Times New Roman" w:cs="Times New Roman"/>
            <w:color w:val="467886"/>
            <w:sz w:val="20"/>
            <w:szCs w:val="20"/>
            <w:u w:val="single"/>
          </w:rPr>
          <w:t>https://desarrolloeconomico.gov.co/al-cierre-de-2023-la-economia-en-bogota-crecio-06-el-mismo-porcentaje-de-crecimiento-en-el-pais/#:~:text=En%202023%20el%20Producto%20Interno,Secretar%C3%ADa%20Distrital%20de%20Desarrollo%20Econ%C3%B3mico</w:t>
        </w:r>
      </w:hyperlink>
      <w:r>
        <w:rPr>
          <w:rFonts w:ascii="Times New Roman" w:eastAsia="Times New Roman" w:hAnsi="Times New Roman" w:cs="Times New Roman"/>
          <w:sz w:val="20"/>
          <w:szCs w:val="20"/>
        </w:rPr>
        <w:t xml:space="preserve">. </w:t>
      </w:r>
    </w:p>
  </w:footnote>
  <w:footnote w:id="3">
    <w:p w14:paraId="2D978D6B"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Departamento Administrativo Nacional de Estadística (DANE). (2024). </w:t>
      </w:r>
      <w:r>
        <w:rPr>
          <w:rFonts w:ascii="Times New Roman" w:eastAsia="Times New Roman" w:hAnsi="Times New Roman" w:cs="Times New Roman"/>
          <w:i/>
          <w:iCs/>
          <w:sz w:val="20"/>
          <w:szCs w:val="20"/>
        </w:rPr>
        <w:t>Principales indicadores del mercado laboral.</w:t>
      </w:r>
      <w:r>
        <w:rPr>
          <w:rFonts w:ascii="Times New Roman" w:eastAsia="Times New Roman" w:hAnsi="Times New Roman" w:cs="Times New Roman"/>
          <w:sz w:val="20"/>
          <w:szCs w:val="20"/>
        </w:rPr>
        <w:t xml:space="preserve"> Dane. Julio 2024. Bogotá, Colombia. Recuperado de: </w:t>
      </w:r>
      <w:hyperlink r:id="rId3">
        <w:r w:rsidR="00E63642">
          <w:rPr>
            <w:rFonts w:ascii="Times New Roman" w:eastAsia="Times New Roman" w:hAnsi="Times New Roman" w:cs="Times New Roman"/>
            <w:color w:val="467886"/>
            <w:sz w:val="20"/>
            <w:szCs w:val="20"/>
            <w:u w:val="single"/>
          </w:rPr>
          <w:t>https://www.dane.gov.co/files/operaciones/GEIH/bol-GEIH-jul2024.pdf</w:t>
        </w:r>
      </w:hyperlink>
      <w:r>
        <w:rPr>
          <w:rFonts w:ascii="Times New Roman" w:eastAsia="Times New Roman" w:hAnsi="Times New Roman" w:cs="Times New Roman"/>
          <w:sz w:val="20"/>
          <w:szCs w:val="20"/>
        </w:rPr>
        <w:t xml:space="preserve"> </w:t>
      </w:r>
    </w:p>
  </w:footnote>
  <w:footnote w:id="4">
    <w:p w14:paraId="2A190888"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Secretaría Distrital de Desarrollo Económico. (2024). </w:t>
      </w:r>
      <w:r>
        <w:rPr>
          <w:rFonts w:ascii="Times New Roman" w:eastAsia="Times New Roman" w:hAnsi="Times New Roman" w:cs="Times New Roman"/>
          <w:i/>
          <w:iCs/>
          <w:sz w:val="20"/>
          <w:szCs w:val="20"/>
        </w:rPr>
        <w:t>En lo corrido de 2024, la inflación en Bogotá ha disminuido.</w:t>
      </w:r>
      <w:r>
        <w:rPr>
          <w:rFonts w:ascii="Times New Roman" w:eastAsia="Times New Roman" w:hAnsi="Times New Roman" w:cs="Times New Roman"/>
          <w:sz w:val="20"/>
          <w:szCs w:val="20"/>
        </w:rPr>
        <w:t xml:space="preserve"> Bogotá, Colombia: Observatorio de Desarrollo Económico de Bogotá. Recuperado de: </w:t>
      </w:r>
      <w:hyperlink r:id="rId4">
        <w:r w:rsidR="00E63642">
          <w:rPr>
            <w:rFonts w:ascii="Times New Roman" w:eastAsia="Times New Roman" w:hAnsi="Times New Roman" w:cs="Times New Roman"/>
            <w:color w:val="467886"/>
            <w:sz w:val="20"/>
            <w:szCs w:val="20"/>
            <w:u w:val="single"/>
          </w:rPr>
          <w:t>https://desarrolloeconomico.gov.co/en-lo-corrido-de-2024-la-inflacion-en-bogota-ha-disminuido/</w:t>
        </w:r>
      </w:hyperlink>
      <w:r>
        <w:rPr>
          <w:rFonts w:ascii="Times New Roman" w:eastAsia="Times New Roman" w:hAnsi="Times New Roman" w:cs="Times New Roman"/>
          <w:sz w:val="20"/>
          <w:szCs w:val="20"/>
        </w:rPr>
        <w:t xml:space="preserve"> </w:t>
      </w:r>
    </w:p>
  </w:footnote>
  <w:footnote w:id="5">
    <w:p w14:paraId="1D6907E6"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Banco de la República de Colombia. (2024). </w:t>
      </w:r>
      <w:r>
        <w:rPr>
          <w:rFonts w:ascii="Times New Roman" w:eastAsia="Times New Roman" w:hAnsi="Times New Roman" w:cs="Times New Roman"/>
          <w:i/>
          <w:iCs/>
          <w:sz w:val="20"/>
          <w:szCs w:val="20"/>
        </w:rPr>
        <w:t>Encuesta mensual de expectativas económicas de empresarios (EMEE). Julio de 2024.</w:t>
      </w:r>
      <w:r>
        <w:rPr>
          <w:rFonts w:ascii="Times New Roman" w:eastAsia="Times New Roman" w:hAnsi="Times New Roman" w:cs="Times New Roman"/>
          <w:sz w:val="20"/>
          <w:szCs w:val="20"/>
        </w:rPr>
        <w:t xml:space="preserve"> Recuperado de: </w:t>
      </w:r>
      <w:hyperlink r:id="rId5">
        <w:r w:rsidR="00E63642">
          <w:rPr>
            <w:rFonts w:ascii="Times New Roman" w:eastAsia="Times New Roman" w:hAnsi="Times New Roman" w:cs="Times New Roman"/>
            <w:color w:val="1155CC"/>
            <w:sz w:val="20"/>
            <w:szCs w:val="20"/>
            <w:u w:val="single"/>
          </w:rPr>
          <w:t>https://www.banrep.gov.co/es/estadisticas-economicas/encuesta-mensual-expectativas-economicas-empresarios</w:t>
        </w:r>
      </w:hyperlink>
      <w:r>
        <w:rPr>
          <w:rFonts w:ascii="Times New Roman" w:eastAsia="Times New Roman" w:hAnsi="Times New Roman" w:cs="Times New Roman"/>
          <w:sz w:val="20"/>
          <w:szCs w:val="20"/>
        </w:rPr>
        <w:t xml:space="preserve"> </w:t>
      </w:r>
    </w:p>
  </w:footnote>
  <w:footnote w:id="6">
    <w:p w14:paraId="6160C8C3"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Departamento Nacional de Planeación (DNP). (2024). </w:t>
      </w:r>
      <w:r>
        <w:rPr>
          <w:rFonts w:ascii="Times New Roman" w:eastAsia="Times New Roman" w:hAnsi="Times New Roman" w:cs="Times New Roman"/>
          <w:i/>
          <w:iCs/>
          <w:sz w:val="20"/>
          <w:szCs w:val="20"/>
        </w:rPr>
        <w:t>En mayo, las ventas minoristas bajaron -1,7%, pero avanzan hacia cifras menos negativas.</w:t>
      </w:r>
      <w:r>
        <w:rPr>
          <w:rFonts w:ascii="Times New Roman" w:eastAsia="Times New Roman" w:hAnsi="Times New Roman" w:cs="Times New Roman"/>
          <w:sz w:val="20"/>
          <w:szCs w:val="20"/>
        </w:rPr>
        <w:t xml:space="preserve"> Recuperado de: </w:t>
      </w:r>
      <w:hyperlink r:id="rId6">
        <w:r w:rsidR="00E63642">
          <w:rPr>
            <w:rFonts w:ascii="Times New Roman" w:eastAsia="Times New Roman" w:hAnsi="Times New Roman" w:cs="Times New Roman"/>
            <w:color w:val="467886"/>
            <w:sz w:val="20"/>
            <w:szCs w:val="20"/>
            <w:u w:val="single"/>
          </w:rPr>
          <w:t>https://www.dnp.gov.co/publicaciones/Planeacion/Paginas/en-mayo-las-ventas-minoristas-bajaron-menos-1-7-porciento-pero-avanzan-hacia-cifras-menos-negativas.aspx</w:t>
        </w:r>
      </w:hyperlink>
      <w:r>
        <w:rPr>
          <w:rFonts w:ascii="Times New Roman" w:eastAsia="Times New Roman" w:hAnsi="Times New Roman" w:cs="Times New Roman"/>
          <w:sz w:val="20"/>
          <w:szCs w:val="20"/>
        </w:rPr>
        <w:t xml:space="preserve"> </w:t>
      </w:r>
    </w:p>
  </w:footnote>
  <w:footnote w:id="7">
    <w:p w14:paraId="5902C23F"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Secretaría Distrital de Desarrollo Económico. (2024). </w:t>
      </w:r>
      <w:r>
        <w:rPr>
          <w:rFonts w:ascii="Times New Roman" w:eastAsia="Times New Roman" w:hAnsi="Times New Roman" w:cs="Times New Roman"/>
          <w:i/>
          <w:iCs/>
          <w:sz w:val="20"/>
          <w:szCs w:val="20"/>
        </w:rPr>
        <w:t>84,8 % de los micronegocios en Bogotá no acude al sistema financiero.</w:t>
      </w:r>
      <w:r>
        <w:rPr>
          <w:rFonts w:ascii="Times New Roman" w:eastAsia="Times New Roman" w:hAnsi="Times New Roman" w:cs="Times New Roman"/>
          <w:sz w:val="20"/>
          <w:szCs w:val="20"/>
        </w:rPr>
        <w:t xml:space="preserve"> Bogotá, Colombia: Observatorio de Desarrollo Económico. Recuperado de: </w:t>
      </w:r>
      <w:hyperlink r:id="rId7">
        <w:r w:rsidR="00E63642">
          <w:rPr>
            <w:rFonts w:ascii="Times New Roman" w:eastAsia="Times New Roman" w:hAnsi="Times New Roman" w:cs="Times New Roman"/>
            <w:color w:val="467886"/>
            <w:sz w:val="20"/>
            <w:szCs w:val="20"/>
            <w:u w:val="single"/>
          </w:rPr>
          <w:t>https://desarrolloeconomico.gov.co/848-de-los-micronegocios-en-bogota-no-acude-al-sistema-financiero-observatorio-de-desarrollo-economico-de-bogota/</w:t>
        </w:r>
      </w:hyperlink>
      <w:r>
        <w:rPr>
          <w:rFonts w:ascii="Times New Roman" w:eastAsia="Times New Roman" w:hAnsi="Times New Roman" w:cs="Times New Roman"/>
          <w:sz w:val="20"/>
          <w:szCs w:val="20"/>
        </w:rPr>
        <w:t xml:space="preserve"> </w:t>
      </w:r>
    </w:p>
  </w:footnote>
  <w:footnote w:id="8">
    <w:p w14:paraId="59E2C9D2" w14:textId="77777777" w:rsidR="00E63642" w:rsidRDefault="00BC177F">
      <w:pPr>
        <w:jc w:val="both"/>
        <w:rPr>
          <w:rFonts w:ascii="Aptos" w:eastAsia="Aptos" w:hAnsi="Aptos" w:cs="Aptos"/>
          <w:sz w:val="20"/>
          <w:szCs w:val="20"/>
        </w:rPr>
      </w:pPr>
      <w:r>
        <w:rPr>
          <w:vertAlign w:val="superscript"/>
        </w:rPr>
        <w:footnoteRef/>
      </w:r>
      <w:r>
        <w:rPr>
          <w:rFonts w:ascii="Times New Roman" w:eastAsia="Times New Roman" w:hAnsi="Times New Roman" w:cs="Times New Roman"/>
          <w:sz w:val="20"/>
          <w:szCs w:val="20"/>
        </w:rPr>
        <w:t xml:space="preserve"> Superintendencia Financiera de Colombia. (2023). </w:t>
      </w:r>
      <w:r>
        <w:rPr>
          <w:rFonts w:ascii="Times New Roman" w:eastAsia="Times New Roman" w:hAnsi="Times New Roman" w:cs="Times New Roman"/>
          <w:i/>
          <w:iCs/>
          <w:sz w:val="20"/>
          <w:szCs w:val="20"/>
        </w:rPr>
        <w:t>Reporte de Inclusión Financiera 2023: avances y retos en Colombia.</w:t>
      </w:r>
      <w:r>
        <w:rPr>
          <w:rFonts w:ascii="Times New Roman" w:eastAsia="Times New Roman" w:hAnsi="Times New Roman" w:cs="Times New Roman"/>
          <w:sz w:val="20"/>
          <w:szCs w:val="20"/>
        </w:rPr>
        <w:t xml:space="preserve"> Bogotá, Colombia. Recuperado de: </w:t>
      </w:r>
      <w:hyperlink r:id="rId8" w:anchor=":~:text=El%20acceso%20a%20productos%20financieros,en%202023%20">
        <w:r w:rsidR="00E63642">
          <w:rPr>
            <w:rFonts w:ascii="Times New Roman" w:eastAsia="Times New Roman" w:hAnsi="Times New Roman" w:cs="Times New Roman"/>
            <w:color w:val="467886"/>
            <w:sz w:val="20"/>
            <w:szCs w:val="20"/>
            <w:u w:val="single"/>
          </w:rPr>
          <w:t>https://www.superfinanciera.gov.co/publicaciones/10115193/reporte-de-inclusion-financiera-2023-avances-y-retos-en-colombia/#:~:text=El%20acceso%20a%20productos%20financieros,en%202023%20</w:t>
        </w:r>
      </w:hyperlink>
      <w:r>
        <w:rPr>
          <w:rFonts w:ascii="Times New Roman" w:eastAsia="Times New Roman" w:hAnsi="Times New Roman" w:cs="Times New Roman"/>
          <w:sz w:val="20"/>
          <w:szCs w:val="20"/>
        </w:rPr>
        <w:t>.</w:t>
      </w:r>
      <w:r>
        <w:rPr>
          <w:rFonts w:ascii="Aptos" w:eastAsia="Aptos" w:hAnsi="Aptos" w:cs="Aptos"/>
          <w:sz w:val="20"/>
          <w:szCs w:val="20"/>
        </w:rPr>
        <w:t xml:space="preserve"> </w:t>
      </w:r>
    </w:p>
  </w:footnote>
  <w:footnote w:id="9">
    <w:p w14:paraId="6C655C72"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Ibídem.</w:t>
      </w:r>
    </w:p>
  </w:footnote>
  <w:footnote w:id="10">
    <w:p w14:paraId="0798757B" w14:textId="77777777" w:rsidR="00E63642" w:rsidRDefault="00BC177F">
      <w:pPr>
        <w:jc w:val="both"/>
        <w:rPr>
          <w:rFonts w:ascii="Times New Roman" w:eastAsia="Times New Roman" w:hAnsi="Times New Roman" w:cs="Times New Roman"/>
          <w:color w:val="0000FF"/>
          <w:sz w:val="20"/>
          <w:szCs w:val="20"/>
          <w:u w:val="single"/>
        </w:rPr>
      </w:pPr>
      <w:r>
        <w:rPr>
          <w:vertAlign w:val="superscript"/>
        </w:rPr>
        <w:footnoteRef/>
      </w:r>
      <w:r>
        <w:rPr>
          <w:rFonts w:ascii="Times New Roman" w:eastAsia="Times New Roman" w:hAnsi="Times New Roman" w:cs="Times New Roman"/>
          <w:sz w:val="20"/>
          <w:szCs w:val="20"/>
        </w:rPr>
        <w:t xml:space="preserve"> Borda, J. J. (2019). Cultura de consumo del comprador de productos para mascotas. Bogotá. Colombia. Recuperado de</w:t>
      </w:r>
      <w:r>
        <w:rPr>
          <w:rFonts w:ascii="Aptos" w:eastAsia="Aptos" w:hAnsi="Aptos" w:cs="Aptos"/>
          <w:sz w:val="20"/>
          <w:szCs w:val="20"/>
        </w:rPr>
        <w:t>:</w:t>
      </w:r>
      <w:r>
        <w:rPr>
          <w:rFonts w:ascii="Times New Roman" w:eastAsia="Times New Roman" w:hAnsi="Times New Roman" w:cs="Times New Roman"/>
          <w:sz w:val="20"/>
          <w:szCs w:val="20"/>
        </w:rPr>
        <w:t xml:space="preserve"> </w:t>
      </w:r>
      <w:r>
        <w:rPr>
          <w:rFonts w:ascii="Times New Roman" w:eastAsia="Times New Roman" w:hAnsi="Times New Roman" w:cs="Times New Roman"/>
          <w:color w:val="0000FF"/>
          <w:sz w:val="20"/>
          <w:szCs w:val="20"/>
        </w:rPr>
        <w:t xml:space="preserve"> </w:t>
      </w:r>
      <w:hyperlink r:id="rId9">
        <w:r w:rsidR="00E63642">
          <w:rPr>
            <w:rFonts w:ascii="Times New Roman" w:eastAsia="Times New Roman" w:hAnsi="Times New Roman" w:cs="Times New Roman"/>
            <w:color w:val="1155CC"/>
            <w:sz w:val="20"/>
            <w:szCs w:val="20"/>
            <w:u w:val="single"/>
          </w:rPr>
          <w:t>https://ridum.umanizales.edu.co/xmlui/handle/20.500.12746/5537</w:t>
        </w:r>
      </w:hyperlink>
      <w:r>
        <w:rPr>
          <w:rFonts w:ascii="Times New Roman" w:eastAsia="Times New Roman" w:hAnsi="Times New Roman" w:cs="Times New Roman"/>
          <w:color w:val="1155CC"/>
          <w:sz w:val="20"/>
          <w:szCs w:val="20"/>
          <w:u w:val="single"/>
        </w:rPr>
        <w:t xml:space="preserve"> </w:t>
      </w:r>
    </w:p>
  </w:footnote>
  <w:footnote w:id="11">
    <w:p w14:paraId="7EDFB118" w14:textId="77777777" w:rsidR="00E63642" w:rsidRDefault="00BC177F">
      <w:pPr>
        <w:jc w:val="both"/>
        <w:rPr>
          <w:color w:val="B9C4C9"/>
          <w:sz w:val="42"/>
          <w:szCs w:val="42"/>
          <w:highlight w:val="cyan"/>
        </w:rPr>
      </w:pPr>
      <w:r>
        <w:rPr>
          <w:vertAlign w:val="superscript"/>
        </w:rPr>
        <w:footnoteRef/>
      </w:r>
      <w:r>
        <w:rPr>
          <w:rFonts w:ascii="Times New Roman" w:eastAsia="Times New Roman" w:hAnsi="Times New Roman" w:cs="Times New Roman"/>
          <w:sz w:val="20"/>
          <w:szCs w:val="20"/>
        </w:rPr>
        <w:t xml:space="preserve"> Cepeda, A. M.  y Díaz, L. (2018) Estudio de los motivadores de la demanda de productos y servicios para mascotas en Bogotá y de la oportunidad de negocios en este mercado. Bogotá D.C. Colombia. Recuperado de: </w:t>
      </w:r>
      <w:hyperlink r:id="rId10">
        <w:r w:rsidR="00E63642">
          <w:rPr>
            <w:rFonts w:ascii="Times New Roman" w:eastAsia="Times New Roman" w:hAnsi="Times New Roman" w:cs="Times New Roman"/>
            <w:color w:val="1155CC"/>
            <w:sz w:val="20"/>
            <w:szCs w:val="20"/>
            <w:u w:val="single"/>
          </w:rPr>
          <w:t>https://repository.cesa.edu.co/handle/10726/2075</w:t>
        </w:r>
      </w:hyperlink>
    </w:p>
    <w:p w14:paraId="6699D582" w14:textId="77777777" w:rsidR="00E63642" w:rsidRDefault="00E63642">
      <w:pPr>
        <w:rPr>
          <w:sz w:val="20"/>
          <w:szCs w:val="20"/>
          <w:highlight w:val="cyan"/>
        </w:rPr>
      </w:pPr>
    </w:p>
  </w:footnote>
  <w:footnote w:id="12">
    <w:p w14:paraId="36A0DCBB"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Euromonitor International (2024). </w:t>
      </w:r>
      <w:r>
        <w:rPr>
          <w:rFonts w:ascii="Times New Roman" w:eastAsia="Times New Roman" w:hAnsi="Times New Roman" w:cs="Times New Roman"/>
          <w:i/>
          <w:iCs/>
          <w:sz w:val="20"/>
          <w:szCs w:val="20"/>
        </w:rPr>
        <w:t>Tendencias Globales De Consumo En 2024.</w:t>
      </w:r>
      <w:r>
        <w:rPr>
          <w:rFonts w:ascii="Times New Roman" w:eastAsia="Times New Roman" w:hAnsi="Times New Roman" w:cs="Times New Roman"/>
          <w:sz w:val="20"/>
          <w:szCs w:val="20"/>
        </w:rPr>
        <w:t xml:space="preserve"> Recuperado de: </w:t>
      </w:r>
      <w:hyperlink r:id="rId11">
        <w:r w:rsidR="00E63642">
          <w:rPr>
            <w:rFonts w:ascii="Times New Roman" w:eastAsia="Times New Roman" w:hAnsi="Times New Roman" w:cs="Times New Roman"/>
            <w:color w:val="1155CC"/>
            <w:sz w:val="20"/>
            <w:szCs w:val="20"/>
            <w:u w:val="single"/>
          </w:rPr>
          <w:t>https://lp.euromonitor.com/white-paper/2024-global-consumer-trends/?utm_source=Press_release&amp;utm_medium=PR&amp;utm_campaign=CT_23_11_16_WP_GCT_2024</w:t>
        </w:r>
      </w:hyperlink>
    </w:p>
  </w:footnote>
  <w:footnote w:id="13">
    <w:p w14:paraId="5440B91D" w14:textId="77777777" w:rsidR="00E63642" w:rsidRDefault="00BC177F">
      <w:pPr>
        <w:pBdr>
          <w:top w:val="none" w:sz="0" w:space="0" w:color="000000"/>
          <w:left w:val="none" w:sz="0" w:space="0" w:color="000000"/>
          <w:bottom w:val="none" w:sz="0" w:space="12" w:color="000000"/>
          <w:right w:val="none" w:sz="0" w:space="0" w:color="000000"/>
          <w:between w:val="nil"/>
        </w:pBdr>
        <w:jc w:val="both"/>
        <w:rPr>
          <w:rFonts w:ascii="Times New Roman" w:eastAsia="Times New Roman" w:hAnsi="Times New Roman" w:cs="Times New Roman"/>
          <w:color w:val="0000FF"/>
          <w:sz w:val="18"/>
          <w:szCs w:val="18"/>
          <w:highlight w:val="cyan"/>
        </w:rPr>
      </w:pPr>
      <w:bookmarkStart w:id="2" w:name="_heading=h.c943sbz1keu1" w:colFirst="0" w:colLast="0"/>
      <w:bookmarkEnd w:id="2"/>
      <w:r>
        <w:rPr>
          <w:vertAlign w:val="superscript"/>
        </w:rPr>
        <w:footnoteRef/>
      </w:r>
      <w:r>
        <w:rPr>
          <w:rFonts w:ascii="Times New Roman" w:eastAsia="Times New Roman" w:hAnsi="Times New Roman" w:cs="Times New Roman"/>
          <w:color w:val="000000"/>
          <w:sz w:val="20"/>
          <w:szCs w:val="20"/>
        </w:rPr>
        <w:t xml:space="preserve">Portafolio. (2019). </w:t>
      </w:r>
      <w:r>
        <w:rPr>
          <w:rFonts w:ascii="Times New Roman" w:eastAsia="Times New Roman" w:hAnsi="Times New Roman" w:cs="Times New Roman"/>
          <w:i/>
          <w:iCs/>
          <w:color w:val="000000"/>
          <w:sz w:val="20"/>
          <w:szCs w:val="20"/>
        </w:rPr>
        <w:t>Las ventas de comida para mascotas superarán las de bebés en 2019.</w:t>
      </w:r>
      <w:r>
        <w:rPr>
          <w:rFonts w:ascii="Times New Roman" w:eastAsia="Times New Roman" w:hAnsi="Times New Roman" w:cs="Times New Roman"/>
          <w:color w:val="000000"/>
          <w:sz w:val="20"/>
          <w:szCs w:val="20"/>
        </w:rPr>
        <w:t xml:space="preserve"> Recuperado de: </w:t>
      </w:r>
      <w:hyperlink r:id="rId12">
        <w:r w:rsidR="00E63642">
          <w:rPr>
            <w:rFonts w:ascii="Times New Roman" w:eastAsia="Times New Roman" w:hAnsi="Times New Roman" w:cs="Times New Roman"/>
            <w:color w:val="1155CC"/>
            <w:sz w:val="20"/>
            <w:szCs w:val="20"/>
            <w:u w:val="single"/>
          </w:rPr>
          <w:t>https://www.portafolio.co/tendencias/las-ventas-de-comida-para-mascotas-superaran-las-de-bebes-en-2019-522475</w:t>
        </w:r>
      </w:hyperlink>
    </w:p>
  </w:footnote>
  <w:footnote w:id="14">
    <w:p w14:paraId="520A7CCE" w14:textId="77777777" w:rsidR="00E63642" w:rsidRDefault="00BC177F">
      <w:pPr>
        <w:spacing w:after="160" w:line="278" w:lineRule="auto"/>
        <w:jc w:val="both"/>
        <w:rPr>
          <w:rFonts w:ascii="Times New Roman" w:eastAsia="Times New Roman" w:hAnsi="Times New Roman" w:cs="Times New Roman"/>
          <w:color w:val="0000FF"/>
          <w:sz w:val="18"/>
          <w:szCs w:val="18"/>
          <w:u w:val="single"/>
        </w:rPr>
      </w:pPr>
      <w:r>
        <w:rPr>
          <w:vertAlign w:val="superscript"/>
        </w:rPr>
        <w:footnoteRef/>
      </w:r>
      <w:r>
        <w:rPr>
          <w:rFonts w:ascii="Times New Roman" w:eastAsia="Times New Roman" w:hAnsi="Times New Roman" w:cs="Times New Roman"/>
          <w:sz w:val="20"/>
          <w:szCs w:val="20"/>
        </w:rPr>
        <w:t xml:space="preserve"> Forbes. (2024). </w:t>
      </w:r>
      <w:r>
        <w:rPr>
          <w:rFonts w:ascii="Times New Roman" w:eastAsia="Times New Roman" w:hAnsi="Times New Roman" w:cs="Times New Roman"/>
          <w:i/>
          <w:iCs/>
          <w:sz w:val="20"/>
          <w:szCs w:val="20"/>
        </w:rPr>
        <w:t>Crece el mercado de mascotas en Colombia; el 70% de 10 millones de hogares tiene una.</w:t>
      </w:r>
      <w:r>
        <w:rPr>
          <w:rFonts w:ascii="Times New Roman" w:eastAsia="Times New Roman" w:hAnsi="Times New Roman" w:cs="Times New Roman"/>
          <w:sz w:val="20"/>
          <w:szCs w:val="20"/>
        </w:rPr>
        <w:t xml:space="preserve"> Recuperdo de:: </w:t>
      </w:r>
      <w:r>
        <w:rPr>
          <w:rFonts w:ascii="Times New Roman" w:eastAsia="Times New Roman" w:hAnsi="Times New Roman" w:cs="Times New Roman"/>
          <w:color w:val="0000FF"/>
          <w:sz w:val="18"/>
          <w:szCs w:val="18"/>
          <w:u w:val="single"/>
        </w:rPr>
        <w:t xml:space="preserve"> </w:t>
      </w:r>
      <w:hyperlink r:id="rId13">
        <w:r w:rsidR="00E63642">
          <w:rPr>
            <w:rFonts w:ascii="Times New Roman" w:eastAsia="Times New Roman" w:hAnsi="Times New Roman" w:cs="Times New Roman"/>
            <w:color w:val="1155CC"/>
            <w:sz w:val="20"/>
            <w:szCs w:val="20"/>
            <w:u w:val="single"/>
          </w:rPr>
          <w:t>https://forbes.co/2024/07/16/negocios/crece-el-mercado-de-mascotas-en-colombia</w:t>
        </w:r>
      </w:hyperlink>
      <w:r>
        <w:rPr>
          <w:rFonts w:ascii="Times New Roman" w:eastAsia="Times New Roman" w:hAnsi="Times New Roman" w:cs="Times New Roman"/>
          <w:color w:val="1155CC"/>
          <w:sz w:val="20"/>
          <w:szCs w:val="20"/>
          <w:u w:val="single"/>
        </w:rPr>
        <w:t xml:space="preserve"> </w:t>
      </w:r>
    </w:p>
  </w:footnote>
  <w:footnote w:id="15">
    <w:p w14:paraId="7762BA8E"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20"/>
          <w:szCs w:val="20"/>
        </w:rPr>
        <w:t xml:space="preserve"> La República. (2023). El negocio de las mascotas proyecta una inversión de $5 billones (2023). Recuperado de: </w:t>
      </w:r>
      <w:hyperlink r:id="rId14">
        <w:r w:rsidR="00E63642">
          <w:rPr>
            <w:rFonts w:ascii="Times New Roman" w:eastAsia="Times New Roman" w:hAnsi="Times New Roman" w:cs="Times New Roman"/>
            <w:color w:val="1155CC"/>
            <w:sz w:val="20"/>
            <w:szCs w:val="20"/>
            <w:u w:val="single"/>
          </w:rPr>
          <w:t>https://www.larepublica.co/empresas/el-negocio-de-las-mascotas-proyecta-una-inversion-de-5-billones-al-termino-de-2023-3719424</w:t>
        </w:r>
      </w:hyperlink>
      <w:r>
        <w:rPr>
          <w:rFonts w:ascii="Times New Roman" w:eastAsia="Times New Roman" w:hAnsi="Times New Roman" w:cs="Times New Roman"/>
          <w:color w:val="1155CC"/>
          <w:sz w:val="20"/>
          <w:szCs w:val="20"/>
          <w:u w:val="single"/>
        </w:rPr>
        <w:t xml:space="preserve"> </w:t>
      </w:r>
    </w:p>
  </w:footnote>
  <w:footnote w:id="16">
    <w:p w14:paraId="219BE3FB"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Pulso Capital. (2024). Pet Tech en Latinoamérica: qué es y cómo innova el cuidado de mascotas.Recuperado de:</w:t>
      </w:r>
      <w:hyperlink r:id="rId15">
        <w:r w:rsidR="00E63642">
          <w:rPr>
            <w:rFonts w:ascii="Times New Roman" w:eastAsia="Times New Roman" w:hAnsi="Times New Roman" w:cs="Times New Roman"/>
            <w:color w:val="1155CC"/>
            <w:sz w:val="20"/>
            <w:szCs w:val="20"/>
            <w:u w:val="single"/>
          </w:rPr>
          <w:t>https://pulsocapital.com/pet-tech-en-latinoamerica-que-es-y-como-innova-el-cuidado-de-mascotas/</w:t>
        </w:r>
      </w:hyperlink>
    </w:p>
  </w:footnote>
  <w:footnote w:id="17">
    <w:p w14:paraId="7485DA8A"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BBVA. (2023). Startups de mascotas que cuidan de los animales de compañía. Emprendimiento y Startups. Recuperado de:  </w:t>
      </w:r>
      <w:hyperlink r:id="rId16">
        <w:r w:rsidR="00E63642">
          <w:rPr>
            <w:rFonts w:ascii="Times New Roman" w:eastAsia="Times New Roman" w:hAnsi="Times New Roman" w:cs="Times New Roman"/>
            <w:color w:val="467886"/>
            <w:sz w:val="20"/>
            <w:szCs w:val="20"/>
            <w:u w:val="single"/>
          </w:rPr>
          <w:t>https://www.bbva.com/es/innovacion/startups-de-mascotas-que-cuidan-de-los-animales-de-compania/</w:t>
        </w:r>
      </w:hyperlink>
      <w:r>
        <w:rPr>
          <w:rFonts w:ascii="Times New Roman" w:eastAsia="Times New Roman" w:hAnsi="Times New Roman" w:cs="Times New Roman"/>
          <w:sz w:val="20"/>
          <w:szCs w:val="20"/>
        </w:rPr>
        <w:t xml:space="preserve"> </w:t>
      </w:r>
    </w:p>
  </w:footnote>
  <w:footnote w:id="18">
    <w:p w14:paraId="4E1DCF7A" w14:textId="77777777" w:rsidR="00E63642" w:rsidRDefault="00BC177F">
      <w:pPr>
        <w:spacing w:after="160" w:line="278" w:lineRule="auto"/>
        <w:jc w:val="both"/>
        <w:rPr>
          <w:rFonts w:ascii="Aptos" w:eastAsia="Aptos" w:hAnsi="Aptos" w:cs="Aptos"/>
          <w:sz w:val="20"/>
          <w:szCs w:val="20"/>
        </w:rPr>
      </w:pPr>
      <w:r>
        <w:rPr>
          <w:vertAlign w:val="superscript"/>
        </w:rPr>
        <w:footnoteRef/>
      </w:r>
      <w:r>
        <w:rPr>
          <w:rFonts w:ascii="Times New Roman" w:eastAsia="Times New Roman" w:hAnsi="Times New Roman" w:cs="Times New Roman"/>
          <w:sz w:val="20"/>
          <w:szCs w:val="20"/>
        </w:rPr>
        <w:t xml:space="preserve"> Hernandez, M. &amp; Delgado, J. (2024). Revelan el número de mascotas que hay en Colombia: son más perros que gatos. El Espectador. Recuperado de:  </w:t>
      </w:r>
      <w:hyperlink r:id="rId17">
        <w:r w:rsidR="00E63642">
          <w:rPr>
            <w:rFonts w:ascii="Times New Roman" w:eastAsia="Times New Roman" w:hAnsi="Times New Roman" w:cs="Times New Roman"/>
            <w:color w:val="467886"/>
            <w:sz w:val="20"/>
            <w:szCs w:val="20"/>
            <w:u w:val="single"/>
          </w:rPr>
          <w:t>https://www.elespectador.com/la-red-zoocial/revelan-el-numero-de-mascotas-que-hay-en-colombia-son-mas-perros-que-gatos-noticias-hoy/</w:t>
        </w:r>
      </w:hyperlink>
      <w:r>
        <w:rPr>
          <w:rFonts w:ascii="Times New Roman" w:eastAsia="Times New Roman" w:hAnsi="Times New Roman" w:cs="Times New Roman"/>
          <w:sz w:val="20"/>
          <w:szCs w:val="20"/>
        </w:rPr>
        <w:t xml:space="preserve"> </w:t>
      </w:r>
    </w:p>
  </w:footnote>
  <w:footnote w:id="19">
    <w:p w14:paraId="68AD5229" w14:textId="77777777" w:rsidR="00E63642" w:rsidRDefault="00BC177F">
      <w:pPr>
        <w:jc w:val="both"/>
        <w:rPr>
          <w:sz w:val="20"/>
          <w:szCs w:val="20"/>
        </w:rPr>
      </w:pPr>
      <w:r>
        <w:rPr>
          <w:vertAlign w:val="superscript"/>
        </w:rPr>
        <w:footnoteRef/>
      </w:r>
      <w:r>
        <w:rPr>
          <w:rFonts w:ascii="Times New Roman" w:eastAsia="Times New Roman" w:hAnsi="Times New Roman" w:cs="Times New Roman"/>
          <w:sz w:val="20"/>
          <w:szCs w:val="20"/>
        </w:rPr>
        <w:t xml:space="preserve"> CCB. (2024). Cámara de Comercio de Bogotá lanza Iniciativa Clúster de Protección y Bienestar Animal para Bogotá y la Región. Bogotá. Recuperado de: </w:t>
      </w:r>
      <w:hyperlink r:id="rId18">
        <w:r w:rsidR="00E63642">
          <w:rPr>
            <w:rFonts w:ascii="Times New Roman" w:eastAsia="Times New Roman" w:hAnsi="Times New Roman" w:cs="Times New Roman"/>
            <w:color w:val="467886"/>
            <w:sz w:val="20"/>
            <w:szCs w:val="20"/>
            <w:u w:val="single"/>
          </w:rPr>
          <w:t>https://www.ccb.org.co/de-interes/comunicados/camara-de-comercio-de-bogota-lanza-iniciativa-cluster-de-proteccion-y-bienestar-animal-para-bogota-y-la-region</w:t>
        </w:r>
      </w:hyperlink>
    </w:p>
  </w:footnote>
  <w:footnote w:id="20">
    <w:p w14:paraId="5C35DCBD" w14:textId="77777777" w:rsidR="00E63642" w:rsidRDefault="00BC177F">
      <w:pPr>
        <w:jc w:val="both"/>
        <w:rPr>
          <w:rFonts w:ascii="Aptos" w:eastAsia="Aptos" w:hAnsi="Aptos" w:cs="Aptos"/>
          <w:sz w:val="20"/>
          <w:szCs w:val="20"/>
        </w:rPr>
      </w:pPr>
      <w:r>
        <w:rPr>
          <w:vertAlign w:val="superscript"/>
        </w:rPr>
        <w:footnoteRef/>
      </w:r>
      <w:r>
        <w:rPr>
          <w:rFonts w:ascii="Times New Roman" w:eastAsia="Times New Roman" w:hAnsi="Times New Roman" w:cs="Times New Roman"/>
          <w:sz w:val="20"/>
          <w:szCs w:val="20"/>
        </w:rPr>
        <w:t xml:space="preserve">Secretaría Distrital de Desarrollo Económico - SDDE. Observatorio de Desarrollo Económico. Alcaldía de Bogotá. (2019). </w:t>
      </w:r>
      <w:r>
        <w:rPr>
          <w:rFonts w:ascii="Times New Roman" w:eastAsia="Times New Roman" w:hAnsi="Times New Roman" w:cs="Times New Roman"/>
          <w:i/>
          <w:iCs/>
          <w:sz w:val="20"/>
          <w:szCs w:val="20"/>
        </w:rPr>
        <w:t xml:space="preserve">Nota de coyuntura. La economía de las mascotas en Bogotá. </w:t>
      </w:r>
      <w:r>
        <w:rPr>
          <w:rFonts w:ascii="Times New Roman" w:eastAsia="Times New Roman" w:hAnsi="Times New Roman" w:cs="Times New Roman"/>
          <w:sz w:val="20"/>
          <w:szCs w:val="20"/>
        </w:rPr>
        <w:t xml:space="preserve">DESR, (19). Recuperado de: </w:t>
      </w:r>
      <w:hyperlink r:id="rId19">
        <w:r w:rsidR="00E63642">
          <w:rPr>
            <w:rFonts w:ascii="Times New Roman" w:eastAsia="Times New Roman" w:hAnsi="Times New Roman" w:cs="Times New Roman"/>
            <w:color w:val="4A86E8"/>
            <w:sz w:val="20"/>
            <w:szCs w:val="20"/>
            <w:u w:val="single"/>
          </w:rPr>
          <w:t>https://observatorio.desarrolloeconomico.gov.co/sites/default/files/files_articles/nota_editorial_189_mascotas.pdf</w:t>
        </w:r>
      </w:hyperlink>
    </w:p>
  </w:footnote>
  <w:footnote w:id="21">
    <w:p w14:paraId="19622371" w14:textId="77777777" w:rsidR="00E63642" w:rsidRDefault="00BC177F">
      <w:pPr>
        <w:jc w:val="both"/>
        <w:rPr>
          <w:color w:val="4A86E8"/>
          <w:sz w:val="20"/>
          <w:szCs w:val="20"/>
          <w:u w:val="single"/>
        </w:rPr>
      </w:pPr>
      <w:r>
        <w:rPr>
          <w:vertAlign w:val="superscript"/>
        </w:rPr>
        <w:footnoteRef/>
      </w:r>
      <w:r>
        <w:rPr>
          <w:rFonts w:ascii="Times New Roman" w:eastAsia="Times New Roman" w:hAnsi="Times New Roman" w:cs="Times New Roman"/>
          <w:sz w:val="20"/>
          <w:szCs w:val="20"/>
        </w:rPr>
        <w:t xml:space="preserve"> Secretaría Distrital de Desarrollo Económico - SDDE. Observatorio de Desarrollo Económico. Alcaldía de Bogotá. (2019). </w:t>
      </w:r>
      <w:r>
        <w:rPr>
          <w:rFonts w:ascii="Times New Roman" w:eastAsia="Times New Roman" w:hAnsi="Times New Roman" w:cs="Times New Roman"/>
          <w:i/>
          <w:iCs/>
          <w:sz w:val="20"/>
          <w:szCs w:val="20"/>
        </w:rPr>
        <w:t xml:space="preserve">Nota de coyuntura. La economía de las mascotas en Bogotá. </w:t>
      </w:r>
      <w:r>
        <w:rPr>
          <w:rFonts w:ascii="Times New Roman" w:eastAsia="Times New Roman" w:hAnsi="Times New Roman" w:cs="Times New Roman"/>
          <w:sz w:val="20"/>
          <w:szCs w:val="20"/>
        </w:rPr>
        <w:t xml:space="preserve">DESR, (19). Recuperado de: </w:t>
      </w:r>
      <w:hyperlink r:id="rId20">
        <w:r w:rsidR="00E63642">
          <w:rPr>
            <w:rFonts w:ascii="Times New Roman" w:eastAsia="Times New Roman" w:hAnsi="Times New Roman" w:cs="Times New Roman"/>
            <w:color w:val="4A86E8"/>
            <w:sz w:val="20"/>
            <w:szCs w:val="20"/>
            <w:u w:val="single"/>
          </w:rPr>
          <w:t>https://observatorio.desarrolloeconomico.gov.co/sites/default/files/files_articles/nota_editorial_189_mascotas.pdf</w:t>
        </w:r>
      </w:hyperlink>
    </w:p>
  </w:footnote>
  <w:footnote w:id="22">
    <w:p w14:paraId="64F6654A" w14:textId="77777777" w:rsidR="00E63642" w:rsidRDefault="00BC177F">
      <w:pPr>
        <w:rPr>
          <w:rFonts w:ascii="Aptos" w:eastAsia="Aptos" w:hAnsi="Aptos" w:cs="Aptos"/>
          <w:sz w:val="20"/>
          <w:szCs w:val="20"/>
        </w:rPr>
      </w:pPr>
      <w:r>
        <w:rPr>
          <w:vertAlign w:val="superscript"/>
        </w:rPr>
        <w:footnoteRef/>
      </w:r>
      <w:r>
        <w:rPr>
          <w:rFonts w:ascii="Times New Roman" w:eastAsia="Times New Roman" w:hAnsi="Times New Roman" w:cs="Times New Roman"/>
          <w:sz w:val="20"/>
          <w:szCs w:val="20"/>
        </w:rPr>
        <w:t xml:space="preserve"> Reyes, E. (2024). Pet Tech en Latinoamérica: qué es y cómo innova el cuidado de mascotas. Pulso Capital. Recuperado de: </w:t>
      </w:r>
      <w:r>
        <w:rPr>
          <w:rFonts w:ascii="Times New Roman" w:eastAsia="Times New Roman" w:hAnsi="Times New Roman" w:cs="Times New Roman"/>
          <w:sz w:val="18"/>
          <w:szCs w:val="18"/>
        </w:rPr>
        <w:t xml:space="preserve"> </w:t>
      </w:r>
      <w:hyperlink r:id="rId21">
        <w:r w:rsidR="00E63642">
          <w:rPr>
            <w:rFonts w:ascii="Times New Roman" w:eastAsia="Times New Roman" w:hAnsi="Times New Roman" w:cs="Times New Roman"/>
            <w:color w:val="467886"/>
            <w:sz w:val="18"/>
            <w:szCs w:val="18"/>
            <w:u w:val="single"/>
          </w:rPr>
          <w:t>https://pulsocapital.com/pet-tech-en-latinoamerica-que-es-y-como-innova-el-cuidado-de-mascotas/</w:t>
        </w:r>
      </w:hyperlink>
    </w:p>
  </w:footnote>
  <w:footnote w:id="23">
    <w:p w14:paraId="5B98AD69"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Seguros Bolívar. (2024). Caracterización de las Mascotas en Colombia Cifras Bogotá. Recuperado de:  </w:t>
      </w:r>
      <w:hyperlink r:id="rId22">
        <w:r w:rsidR="00E63642">
          <w:rPr>
            <w:rFonts w:ascii="Times New Roman" w:eastAsia="Times New Roman" w:hAnsi="Times New Roman" w:cs="Times New Roman"/>
            <w:color w:val="467886"/>
            <w:sz w:val="20"/>
            <w:szCs w:val="20"/>
            <w:u w:val="single"/>
          </w:rPr>
          <w:t>https://segurosbolivarapoyocomercial.com/news-downloads/mascotas-presentacion.pdf</w:t>
        </w:r>
      </w:hyperlink>
      <w:r>
        <w:rPr>
          <w:rFonts w:ascii="Times New Roman" w:eastAsia="Times New Roman" w:hAnsi="Times New Roman" w:cs="Times New Roman"/>
          <w:sz w:val="20"/>
          <w:szCs w:val="20"/>
        </w:rPr>
        <w:t xml:space="preserve"> </w:t>
      </w:r>
    </w:p>
  </w:footnote>
  <w:footnote w:id="24">
    <w:p w14:paraId="0B4173B5"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Grupo de Investigación I-IDPYBA (2018). Caracterización Animales de Compañía. Subdirección Gestión del Conocimiento y Cultura Ciudadana .Instituto Distrital de Protección y Bienestar Animal  Recuperado de: </w:t>
      </w:r>
      <w:hyperlink r:id="rId23">
        <w:r w:rsidR="00E63642">
          <w:rPr>
            <w:rFonts w:ascii="Times New Roman" w:eastAsia="Times New Roman" w:hAnsi="Times New Roman" w:cs="Times New Roman"/>
            <w:color w:val="467886"/>
            <w:sz w:val="18"/>
            <w:szCs w:val="18"/>
            <w:u w:val="single"/>
          </w:rPr>
          <w:t>https://animalesbog.gov.co/sites/default/files/3_CARACTERIZACI%C3%93N_COMPA%C3%91%C3%8DA_2018.pdf</w:t>
        </w:r>
      </w:hyperlink>
      <w:r>
        <w:rPr>
          <w:rFonts w:ascii="Times New Roman" w:eastAsia="Times New Roman" w:hAnsi="Times New Roman" w:cs="Times New Roman"/>
          <w:sz w:val="18"/>
          <w:szCs w:val="18"/>
        </w:rPr>
        <w:t xml:space="preserve"> </w:t>
      </w:r>
    </w:p>
  </w:footnote>
  <w:footnote w:id="25">
    <w:p w14:paraId="6900A312" w14:textId="77777777" w:rsidR="00E63642" w:rsidRDefault="00BC177F">
      <w:pPr>
        <w:jc w:val="both"/>
        <w:rPr>
          <w:sz w:val="20"/>
          <w:szCs w:val="20"/>
        </w:rPr>
      </w:pPr>
      <w:r>
        <w:rPr>
          <w:vertAlign w:val="superscript"/>
        </w:rPr>
        <w:footnoteRef/>
      </w:r>
      <w:r>
        <w:rPr>
          <w:sz w:val="20"/>
          <w:szCs w:val="20"/>
        </w:rPr>
        <w:t xml:space="preserve"> </w:t>
      </w:r>
      <w:r>
        <w:rPr>
          <w:rFonts w:ascii="Times New Roman" w:eastAsia="Times New Roman" w:hAnsi="Times New Roman" w:cs="Times New Roman"/>
          <w:sz w:val="18"/>
          <w:szCs w:val="18"/>
        </w:rPr>
        <w:t>Pezoa. (2010). Elementos Competitivos en Base a la Eficiencia Colectiva de las Empresas Pertenecientes a un Cluster Emergente.  España.</w:t>
      </w:r>
    </w:p>
  </w:footnote>
  <w:footnote w:id="26">
    <w:p w14:paraId="587CCBD8" w14:textId="77777777" w:rsidR="00E63642" w:rsidRDefault="00BC177F">
      <w:pPr>
        <w:rPr>
          <w:sz w:val="20"/>
          <w:szCs w:val="20"/>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Pezoa (2010) </w:t>
      </w:r>
      <w:r>
        <w:rPr>
          <w:rFonts w:ascii="Times New Roman" w:eastAsia="Times New Roman" w:hAnsi="Times New Roman" w:cs="Times New Roman"/>
          <w:i/>
          <w:iCs/>
          <w:sz w:val="18"/>
          <w:szCs w:val="18"/>
        </w:rPr>
        <w:t>Elementos Competitivos en Base a la Eficiencia Colectiva de las Empresas Pertenecientes a un Cluster Emergente</w:t>
      </w:r>
      <w:r>
        <w:rPr>
          <w:rFonts w:ascii="Times New Roman" w:eastAsia="Times New Roman" w:hAnsi="Times New Roman" w:cs="Times New Roman"/>
          <w:sz w:val="18"/>
          <w:szCs w:val="18"/>
        </w:rPr>
        <w:t>. 2010. España.</w:t>
      </w:r>
    </w:p>
  </w:footnote>
  <w:footnote w:id="27">
    <w:p w14:paraId="46A5034C" w14:textId="77777777" w:rsidR="00E63642" w:rsidRDefault="00BC177F">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Capó, J. (2007). </w:t>
      </w:r>
      <w:r>
        <w:rPr>
          <w:rFonts w:ascii="Times New Roman" w:eastAsia="Times New Roman" w:hAnsi="Times New Roman" w:cs="Times New Roman"/>
          <w:i/>
          <w:iCs/>
          <w:sz w:val="18"/>
          <w:szCs w:val="18"/>
        </w:rPr>
        <w:t>La importancia de los clusters para la competitividad de las PYME en una economía global.</w:t>
      </w:r>
      <w:r>
        <w:rPr>
          <w:rFonts w:ascii="Times New Roman" w:eastAsia="Times New Roman" w:hAnsi="Times New Roman" w:cs="Times New Roman"/>
          <w:sz w:val="18"/>
          <w:szCs w:val="18"/>
        </w:rPr>
        <w:t xml:space="preserve"> Revista EurE, 33, (98), 119-133, Santiago de Chile.</w:t>
      </w:r>
    </w:p>
  </w:footnote>
  <w:footnote w:id="28">
    <w:p w14:paraId="437C4EAE" w14:textId="77777777" w:rsidR="00E63642" w:rsidRDefault="00BC177F">
      <w:pPr>
        <w:jc w:val="both"/>
        <w:rPr>
          <w:sz w:val="20"/>
          <w:szCs w:val="20"/>
        </w:rPr>
      </w:pPr>
      <w:r>
        <w:rPr>
          <w:vertAlign w:val="superscript"/>
        </w:rPr>
        <w:footnoteRef/>
      </w:r>
      <w:r>
        <w:rPr>
          <w:rFonts w:ascii="Times New Roman" w:eastAsia="Times New Roman" w:hAnsi="Times New Roman" w:cs="Times New Roman"/>
          <w:sz w:val="20"/>
          <w:szCs w:val="20"/>
        </w:rPr>
        <w:t xml:space="preserve"> </w:t>
      </w:r>
      <w:r>
        <w:rPr>
          <w:rFonts w:ascii="Times New Roman" w:eastAsia="Times New Roman" w:hAnsi="Times New Roman" w:cs="Times New Roman"/>
          <w:sz w:val="18"/>
          <w:szCs w:val="18"/>
        </w:rPr>
        <w:t>Porter, M. (1998).</w:t>
      </w:r>
      <w:r>
        <w:rPr>
          <w:rFonts w:ascii="Times New Roman" w:eastAsia="Times New Roman" w:hAnsi="Times New Roman" w:cs="Times New Roman"/>
          <w:i/>
          <w:iCs/>
          <w:sz w:val="18"/>
          <w:szCs w:val="18"/>
        </w:rPr>
        <w:t xml:space="preserve"> Clusters and the new economics of competition. </w:t>
      </w:r>
      <w:r>
        <w:rPr>
          <w:rFonts w:ascii="Times New Roman" w:eastAsia="Times New Roman" w:hAnsi="Times New Roman" w:cs="Times New Roman"/>
          <w:sz w:val="18"/>
          <w:szCs w:val="18"/>
        </w:rPr>
        <w:t>Revista Palmas; 20,  4, 51-65. Recuperado de: .</w:t>
      </w:r>
      <w:hyperlink r:id="rId24">
        <w:r w:rsidR="00E63642">
          <w:rPr>
            <w:rFonts w:ascii="Times New Roman" w:eastAsia="Times New Roman" w:hAnsi="Times New Roman" w:cs="Times New Roman"/>
            <w:color w:val="1155CC"/>
            <w:sz w:val="18"/>
            <w:szCs w:val="18"/>
            <w:highlight w:val="white"/>
            <w:u w:val="single"/>
          </w:rPr>
          <w:t>https://publicaciones.fedepalma.org/index.php/palmas/article/view/719</w:t>
        </w:r>
      </w:hyperlink>
      <w:r>
        <w:rPr>
          <w:rFonts w:ascii="Times New Roman" w:eastAsia="Times New Roman" w:hAnsi="Times New Roman" w:cs="Times New Roman"/>
          <w:color w:val="212529"/>
          <w:sz w:val="18"/>
          <w:szCs w:val="18"/>
          <w:highlight w:val="white"/>
        </w:rPr>
        <w:t xml:space="preserve"> </w:t>
      </w:r>
    </w:p>
  </w:footnote>
  <w:footnote w:id="29">
    <w:p w14:paraId="12E33B69" w14:textId="77777777" w:rsidR="00E63642" w:rsidRDefault="00BC177F">
      <w:pPr>
        <w:jc w:val="both"/>
        <w:rPr>
          <w:sz w:val="20"/>
          <w:szCs w:val="20"/>
        </w:rPr>
      </w:pPr>
      <w:r>
        <w:rPr>
          <w:vertAlign w:val="superscript"/>
        </w:rPr>
        <w:footnoteRef/>
      </w:r>
      <w:r>
        <w:rPr>
          <w:rFonts w:ascii="Times New Roman" w:eastAsia="Times New Roman" w:hAnsi="Times New Roman" w:cs="Times New Roman"/>
          <w:sz w:val="18"/>
          <w:szCs w:val="18"/>
        </w:rPr>
        <w:t xml:space="preserve"> SEKUENS. (2019).</w:t>
      </w:r>
      <w:r>
        <w:rPr>
          <w:sz w:val="20"/>
          <w:szCs w:val="20"/>
        </w:rPr>
        <w:t xml:space="preserve"> </w:t>
      </w:r>
      <w:r>
        <w:rPr>
          <w:rFonts w:ascii="Times New Roman" w:eastAsia="Times New Roman" w:hAnsi="Times New Roman" w:cs="Times New Roman"/>
          <w:i/>
          <w:iCs/>
          <w:sz w:val="18"/>
          <w:szCs w:val="18"/>
        </w:rPr>
        <w:t xml:space="preserve">¿Qué ventaja supone para una empresa formar parte de un cluster?. </w:t>
      </w:r>
      <w:r>
        <w:rPr>
          <w:rFonts w:ascii="Times New Roman" w:eastAsia="Times New Roman" w:hAnsi="Times New Roman" w:cs="Times New Roman"/>
          <w:sz w:val="18"/>
          <w:szCs w:val="18"/>
        </w:rPr>
        <w:t xml:space="preserve">Agencia de Ciencia, Competitividad Empresarial e Innovación Asturiana. España. Recuperado de </w:t>
      </w:r>
      <w:r>
        <w:rPr>
          <w:rFonts w:ascii="Times New Roman" w:eastAsia="Times New Roman" w:hAnsi="Times New Roman" w:cs="Times New Roman"/>
          <w:color w:val="467886"/>
          <w:sz w:val="18"/>
          <w:szCs w:val="18"/>
          <w:u w:val="single"/>
        </w:rPr>
        <w:t>:</w:t>
      </w:r>
      <w:hyperlink r:id="rId25">
        <w:r w:rsidR="00E63642">
          <w:rPr>
            <w:rFonts w:ascii="Times New Roman" w:eastAsia="Times New Roman" w:hAnsi="Times New Roman" w:cs="Times New Roman"/>
            <w:color w:val="467886"/>
            <w:sz w:val="18"/>
            <w:szCs w:val="18"/>
            <w:u w:val="single"/>
          </w:rPr>
          <w:t>https://www.idepa.es/innovacion/clusteres/que-es-un-cluster</w:t>
        </w:r>
      </w:hyperlink>
    </w:p>
  </w:footnote>
  <w:footnote w:id="30">
    <w:p w14:paraId="326AE896"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Cámara de Comercio de Bogotá. (2024). </w:t>
      </w:r>
      <w:r>
        <w:rPr>
          <w:rFonts w:ascii="Times New Roman" w:eastAsia="Times New Roman" w:hAnsi="Times New Roman" w:cs="Times New Roman"/>
          <w:i/>
          <w:iCs/>
          <w:sz w:val="18"/>
          <w:szCs w:val="18"/>
        </w:rPr>
        <w:t>Cámara de Comercio de Bogotá lanza Iniciativa Clúster de Protección y Bienestar Animal para Bogotá y la Región.</w:t>
      </w:r>
      <w:r>
        <w:rPr>
          <w:rFonts w:ascii="Times New Roman" w:eastAsia="Times New Roman" w:hAnsi="Times New Roman" w:cs="Times New Roman"/>
          <w:sz w:val="18"/>
          <w:szCs w:val="18"/>
        </w:rPr>
        <w:t xml:space="preserve"> Recuperado de: </w:t>
      </w:r>
      <w:hyperlink r:id="rId26">
        <w:r w:rsidR="00E63642">
          <w:rPr>
            <w:rFonts w:ascii="Times New Roman" w:eastAsia="Times New Roman" w:hAnsi="Times New Roman" w:cs="Times New Roman"/>
            <w:color w:val="467886"/>
            <w:sz w:val="18"/>
            <w:szCs w:val="18"/>
            <w:u w:val="single"/>
          </w:rPr>
          <w:t>https://www.ccb.org.co/de-interes/comunicados/camara-de-comercio-de-bogota-lanza-iniciativa-cluster-de-proteccion-y-bienestar-animal-para-bogota-y-la-region</w:t>
        </w:r>
      </w:hyperlink>
    </w:p>
  </w:footnote>
  <w:footnote w:id="31">
    <w:p w14:paraId="4A699A3C" w14:textId="77777777" w:rsidR="00E63642" w:rsidRDefault="00BC177F">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Capó, J.; Expósito, M. &amp; Masiá, E. (2007). La importancia de los clusters para la competitividad de las PYME en una economía global. EURE, 33(98), 119-133. </w:t>
      </w:r>
      <w:r>
        <w:rPr>
          <w:rFonts w:ascii="Times New Roman" w:eastAsia="Times New Roman" w:hAnsi="Times New Roman" w:cs="Times New Roman"/>
          <w:color w:val="467886"/>
          <w:sz w:val="18"/>
          <w:szCs w:val="18"/>
          <w:u w:val="single"/>
        </w:rPr>
        <w:t>https://dx.doi.org/10.4067/S0250-71612007000100007</w:t>
      </w:r>
    </w:p>
  </w:footnote>
  <w:footnote w:id="32">
    <w:p w14:paraId="504EBE2C" w14:textId="77777777" w:rsidR="00E63642" w:rsidRDefault="00BC177F">
      <w:pPr>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Ibídem</w:t>
      </w:r>
    </w:p>
  </w:footnote>
  <w:footnote w:id="33">
    <w:p w14:paraId="77E277AC" w14:textId="77777777" w:rsidR="00E63642" w:rsidRDefault="00BC177F">
      <w:pPr>
        <w:jc w:val="both"/>
        <w:rPr>
          <w:rFonts w:ascii="Aptos" w:eastAsia="Aptos" w:hAnsi="Aptos" w:cs="Aptos"/>
          <w:sz w:val="20"/>
          <w:szCs w:val="20"/>
        </w:rPr>
      </w:pPr>
      <w:r>
        <w:rPr>
          <w:vertAlign w:val="superscript"/>
        </w:rPr>
        <w:footnoteRef/>
      </w:r>
      <w:r>
        <w:rPr>
          <w:rFonts w:ascii="Times New Roman" w:eastAsia="Times New Roman" w:hAnsi="Times New Roman" w:cs="Times New Roman"/>
          <w:sz w:val="18"/>
          <w:szCs w:val="18"/>
        </w:rPr>
        <w:t xml:space="preserve"> Moss, R. (2003). Prosperar localmente en la economía global. Harvard Deusto Business Review, 119, 24-34</w:t>
      </w:r>
      <w:r>
        <w:rPr>
          <w:rFonts w:ascii="Aptos" w:eastAsia="Aptos" w:hAnsi="Aptos" w:cs="Aptos"/>
          <w:sz w:val="20"/>
          <w:szCs w:val="20"/>
        </w:rPr>
        <w:t xml:space="preserve">. </w:t>
      </w:r>
    </w:p>
  </w:footnote>
  <w:footnote w:id="34">
    <w:p w14:paraId="4615EB95"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Aptos" w:eastAsia="Aptos" w:hAnsi="Aptos" w:cs="Aptos"/>
          <w:sz w:val="20"/>
          <w:szCs w:val="20"/>
        </w:rPr>
        <w:t xml:space="preserve"> </w:t>
      </w:r>
      <w:r>
        <w:rPr>
          <w:rFonts w:ascii="Times New Roman" w:eastAsia="Times New Roman" w:hAnsi="Times New Roman" w:cs="Times New Roman"/>
          <w:sz w:val="18"/>
          <w:szCs w:val="18"/>
        </w:rPr>
        <w:t xml:space="preserve">Shiposha, V. (2020). The Role of Clusters in Global Economy. Three Seas Economic Journal (2) : 67-70. DOI: 10.30525/2661-5150/2020-2-11 </w:t>
      </w:r>
    </w:p>
  </w:footnote>
  <w:footnote w:id="35">
    <w:p w14:paraId="51FB94C2"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20"/>
          <w:szCs w:val="20"/>
        </w:rPr>
        <w:t xml:space="preserve"> </w:t>
      </w:r>
      <w:r>
        <w:rPr>
          <w:rFonts w:ascii="Times New Roman" w:eastAsia="Times New Roman" w:hAnsi="Times New Roman" w:cs="Times New Roman"/>
          <w:sz w:val="18"/>
          <w:szCs w:val="18"/>
        </w:rPr>
        <w:t xml:space="preserve">Cámara de Comercio de Bogotá (2024). Cámara de Comercio de Bogotá lanza Iniciativa Clúster de Protección y Bienestar Animal para Bogotá y la Región. Noticias CBB. Recuperado de: </w:t>
      </w:r>
      <w:hyperlink r:id="rId27">
        <w:r w:rsidR="00E63642">
          <w:rPr>
            <w:rFonts w:ascii="Times New Roman" w:eastAsia="Times New Roman" w:hAnsi="Times New Roman" w:cs="Times New Roman"/>
            <w:color w:val="467886"/>
            <w:sz w:val="18"/>
            <w:szCs w:val="18"/>
            <w:u w:val="single"/>
          </w:rPr>
          <w:t>https://www.ccb.org.co/de-interes/comunicados/camara-de-comercio-de-bogota-lanza-iniciativa-cluster-de-proteccion-y-bienestar-animal-para-bogota-y-la-region</w:t>
        </w:r>
      </w:hyperlink>
      <w:r>
        <w:rPr>
          <w:rFonts w:ascii="Times New Roman" w:eastAsia="Times New Roman" w:hAnsi="Times New Roman" w:cs="Times New Roman"/>
          <w:color w:val="467886"/>
          <w:sz w:val="18"/>
          <w:szCs w:val="18"/>
          <w:u w:val="single"/>
        </w:rPr>
        <w:t xml:space="preserve"> </w:t>
      </w:r>
    </w:p>
  </w:footnote>
  <w:footnote w:id="36">
    <w:p w14:paraId="3B86CA51" w14:textId="77777777" w:rsidR="00E63642" w:rsidRDefault="00BC177F">
      <w:pPr>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Ibidem.</w:t>
      </w:r>
    </w:p>
  </w:footnote>
  <w:footnote w:id="37">
    <w:p w14:paraId="3D0C5839" w14:textId="77777777" w:rsidR="00E63642" w:rsidRDefault="00BC177F">
      <w:pPr>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Naciones Unidas Colombia (s.a).Acerca de nuestro trabajo para los Objetivos de Desarrollo Sostenible en Colombia. Recuperado de:  </w:t>
      </w:r>
      <w:hyperlink r:id="rId28">
        <w:r w:rsidR="00E63642">
          <w:rPr>
            <w:rFonts w:ascii="Times New Roman" w:eastAsia="Times New Roman" w:hAnsi="Times New Roman" w:cs="Times New Roman"/>
            <w:color w:val="1155CC"/>
            <w:sz w:val="18"/>
            <w:szCs w:val="18"/>
            <w:u w:val="single"/>
          </w:rPr>
          <w:t>https://colombia.un.org/es/sdgs</w:t>
        </w:r>
      </w:hyperlink>
    </w:p>
  </w:footnote>
  <w:footnote w:id="38">
    <w:p w14:paraId="1DA15189"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Concejo de Bogotá. (7 de junio de 2024). </w:t>
      </w:r>
      <w:r>
        <w:rPr>
          <w:rFonts w:ascii="Times New Roman" w:eastAsia="Times New Roman" w:hAnsi="Times New Roman" w:cs="Times New Roman"/>
          <w:i/>
          <w:iCs/>
          <w:sz w:val="20"/>
          <w:szCs w:val="20"/>
        </w:rPr>
        <w:t>Acuerdo Distrital 927 de 2024. Por medio del cual se adopta el Plan de Desarrollo Económico, Social, Ambiental y de Obras Públicas del Distrito Capital 2024-2027 “Bogotá Camina Segura”.</w:t>
      </w:r>
      <w:r>
        <w:rPr>
          <w:rFonts w:ascii="Times New Roman" w:eastAsia="Times New Roman" w:hAnsi="Times New Roman" w:cs="Times New Roman"/>
          <w:sz w:val="20"/>
          <w:szCs w:val="20"/>
        </w:rPr>
        <w:t xml:space="preserve"> Recuperado de: </w:t>
      </w:r>
      <w:hyperlink r:id="rId29">
        <w:r w:rsidR="00E63642">
          <w:rPr>
            <w:rFonts w:ascii="Times New Roman" w:eastAsia="Times New Roman" w:hAnsi="Times New Roman" w:cs="Times New Roman"/>
            <w:color w:val="1155CC"/>
            <w:sz w:val="20"/>
            <w:szCs w:val="20"/>
            <w:u w:val="single"/>
          </w:rPr>
          <w:t>https://sisjur.bogotajuridica.gov.co/sisjur/normas/Norma1.jsp?i=155699</w:t>
        </w:r>
      </w:hyperlink>
      <w:r>
        <w:rPr>
          <w:rFonts w:ascii="Times New Roman" w:eastAsia="Times New Roman" w:hAnsi="Times New Roman" w:cs="Times New Roman"/>
          <w:sz w:val="20"/>
          <w:szCs w:val="20"/>
        </w:rPr>
        <w:t xml:space="preserve"> </w:t>
      </w:r>
    </w:p>
  </w:footnote>
  <w:footnote w:id="39">
    <w:p w14:paraId="50C1AB8B"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Asamblea General de las Naciones Unidas. (1966). </w:t>
      </w:r>
      <w:r>
        <w:rPr>
          <w:rFonts w:ascii="Times New Roman" w:eastAsia="Times New Roman" w:hAnsi="Times New Roman" w:cs="Times New Roman"/>
          <w:i/>
          <w:iCs/>
          <w:sz w:val="18"/>
          <w:szCs w:val="18"/>
        </w:rPr>
        <w:t>Pacto Internacional de Derechos Económicos, Sociales y Culturales</w:t>
      </w:r>
      <w:r>
        <w:rPr>
          <w:rFonts w:ascii="Times New Roman" w:eastAsia="Times New Roman" w:hAnsi="Times New Roman" w:cs="Times New Roman"/>
          <w:sz w:val="18"/>
          <w:szCs w:val="18"/>
        </w:rPr>
        <w:t xml:space="preserve">. Recuperado de: </w:t>
      </w:r>
      <w:hyperlink r:id="rId30">
        <w:r w:rsidR="00E63642">
          <w:rPr>
            <w:rFonts w:ascii="Times New Roman" w:eastAsia="Times New Roman" w:hAnsi="Times New Roman" w:cs="Times New Roman"/>
            <w:color w:val="1155CC"/>
            <w:sz w:val="18"/>
            <w:szCs w:val="18"/>
            <w:u w:val="single"/>
          </w:rPr>
          <w:t>https://www.ohchr.org/es/instruments-mechanisms/instruments/international-covenant-economic-social-and-cultural-rights</w:t>
        </w:r>
      </w:hyperlink>
      <w:r>
        <w:rPr>
          <w:rFonts w:ascii="Times New Roman" w:eastAsia="Times New Roman" w:hAnsi="Times New Roman" w:cs="Times New Roman"/>
          <w:sz w:val="18"/>
          <w:szCs w:val="18"/>
        </w:rPr>
        <w:t xml:space="preserve"> </w:t>
      </w:r>
    </w:p>
  </w:footnote>
  <w:footnote w:id="40">
    <w:p w14:paraId="30DEC4DF"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Ibídem.</w:t>
      </w:r>
    </w:p>
  </w:footnote>
  <w:footnote w:id="41">
    <w:p w14:paraId="6D335C87" w14:textId="77777777" w:rsidR="00E63642" w:rsidRDefault="00BC177F">
      <w:pPr>
        <w:jc w:val="both"/>
        <w:rPr>
          <w:rFonts w:ascii="Times New Roman" w:eastAsia="Times New Roman" w:hAnsi="Times New Roman" w:cs="Times New Roman"/>
          <w:sz w:val="18"/>
          <w:szCs w:val="18"/>
        </w:rPr>
      </w:pPr>
      <w:r>
        <w:rPr>
          <w:vertAlign w:val="superscript"/>
        </w:rPr>
        <w:footnoteRef/>
      </w:r>
      <w:r>
        <w:rPr>
          <w:sz w:val="20"/>
          <w:szCs w:val="20"/>
        </w:rPr>
        <w:t xml:space="preserve"> </w:t>
      </w:r>
      <w:r>
        <w:rPr>
          <w:rFonts w:ascii="Times New Roman" w:eastAsia="Times New Roman" w:hAnsi="Times New Roman" w:cs="Times New Roman"/>
          <w:sz w:val="18"/>
          <w:szCs w:val="18"/>
        </w:rPr>
        <w:t xml:space="preserve">Asamblea de la Organización de Estados Americanos (OEA). (1969). Convención Americana sobre Derechos Humanos. Pacto de San José. Recuperada de: </w:t>
      </w:r>
      <w:hyperlink r:id="rId31">
        <w:r w:rsidR="00E63642">
          <w:rPr>
            <w:rFonts w:ascii="Times New Roman" w:eastAsia="Times New Roman" w:hAnsi="Times New Roman" w:cs="Times New Roman"/>
            <w:color w:val="1155CC"/>
            <w:sz w:val="18"/>
            <w:szCs w:val="18"/>
            <w:u w:val="single"/>
          </w:rPr>
          <w:t>https://www.oas.org/dil/esp/1969_Convenci%C3%B3n_Americana_sobre_Derechos_Humanos.pdf</w:t>
        </w:r>
      </w:hyperlink>
      <w:r>
        <w:rPr>
          <w:rFonts w:ascii="Times New Roman" w:eastAsia="Times New Roman" w:hAnsi="Times New Roman" w:cs="Times New Roman"/>
          <w:sz w:val="18"/>
          <w:szCs w:val="18"/>
        </w:rPr>
        <w:t xml:space="preserve"> </w:t>
      </w:r>
    </w:p>
  </w:footnote>
  <w:footnote w:id="42">
    <w:p w14:paraId="667185C0"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Asamblea General de las Naciones Unidas. (2010). </w:t>
      </w:r>
      <w:r>
        <w:rPr>
          <w:rFonts w:ascii="Times New Roman" w:eastAsia="Times New Roman" w:hAnsi="Times New Roman" w:cs="Times New Roman"/>
          <w:i/>
          <w:iCs/>
          <w:sz w:val="20"/>
          <w:szCs w:val="20"/>
        </w:rPr>
        <w:t>Declaración para el Bienestar de los Animales.</w:t>
      </w:r>
    </w:p>
  </w:footnote>
  <w:footnote w:id="43">
    <w:p w14:paraId="2C25075E"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Asamblea General de las Naciones Unidas. (1992). </w:t>
      </w:r>
      <w:r>
        <w:rPr>
          <w:rFonts w:ascii="Times New Roman" w:eastAsia="Times New Roman" w:hAnsi="Times New Roman" w:cs="Times New Roman"/>
          <w:i/>
          <w:iCs/>
          <w:sz w:val="20"/>
          <w:szCs w:val="20"/>
        </w:rPr>
        <w:t>Convención sobre la Diversidad Biológica.</w:t>
      </w:r>
      <w:r>
        <w:rPr>
          <w:rFonts w:ascii="Times New Roman" w:eastAsia="Times New Roman" w:hAnsi="Times New Roman" w:cs="Times New Roman"/>
          <w:sz w:val="20"/>
          <w:szCs w:val="20"/>
        </w:rPr>
        <w:t xml:space="preserve"> Recuperado de:</w:t>
      </w:r>
      <w:hyperlink r:id="rId32">
        <w:r w:rsidR="00E63642">
          <w:rPr>
            <w:rFonts w:ascii="Times New Roman" w:eastAsia="Times New Roman" w:hAnsi="Times New Roman" w:cs="Times New Roman"/>
            <w:color w:val="1155CC"/>
            <w:sz w:val="20"/>
            <w:szCs w:val="20"/>
            <w:u w:val="single"/>
          </w:rPr>
          <w:t>https://www.cbd.int/doc/legal/cbd-es.pdf</w:t>
        </w:r>
      </w:hyperlink>
      <w:r>
        <w:rPr>
          <w:rFonts w:ascii="Times New Roman" w:eastAsia="Times New Roman" w:hAnsi="Times New Roman" w:cs="Times New Roman"/>
          <w:sz w:val="20"/>
          <w:szCs w:val="20"/>
        </w:rPr>
        <w:t xml:space="preserve"> </w:t>
      </w:r>
    </w:p>
  </w:footnote>
  <w:footnote w:id="44">
    <w:p w14:paraId="23987B37"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Asamblea Nacional Constituyente. (1991). </w:t>
      </w:r>
      <w:r>
        <w:rPr>
          <w:rFonts w:ascii="Times New Roman" w:eastAsia="Times New Roman" w:hAnsi="Times New Roman" w:cs="Times New Roman"/>
          <w:i/>
          <w:iCs/>
          <w:sz w:val="18"/>
          <w:szCs w:val="18"/>
        </w:rPr>
        <w:t>Constitución Política de Colombia. Artículo 333</w:t>
      </w:r>
      <w:r>
        <w:rPr>
          <w:rFonts w:ascii="Times New Roman" w:eastAsia="Times New Roman" w:hAnsi="Times New Roman" w:cs="Times New Roman"/>
          <w:sz w:val="18"/>
          <w:szCs w:val="18"/>
        </w:rPr>
        <w:t>. Bogotá, Colombia: Editorial Legis.</w:t>
      </w:r>
    </w:p>
  </w:footnote>
  <w:footnote w:id="45">
    <w:p w14:paraId="2BBBAD32"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Ibídem.</w:t>
      </w:r>
    </w:p>
  </w:footnote>
  <w:footnote w:id="46">
    <w:p w14:paraId="59F02430"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Ibídem.</w:t>
      </w:r>
    </w:p>
  </w:footnote>
  <w:footnote w:id="47">
    <w:p w14:paraId="6CA93B26"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Congreso de la República de Colombia. (10 de julio de 2000). Ley 590 de 2000. Por la cual se dictan disposiciones para promover el desarrollo de las micro, pequeñas y medianas empresas. D.O. 44078. </w:t>
      </w:r>
    </w:p>
  </w:footnote>
  <w:footnote w:id="48">
    <w:p w14:paraId="334F085B" w14:textId="77777777" w:rsidR="00E63642" w:rsidRDefault="00BC177F">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Congreso de la República de Colombia. (31 de diciembre de 2020). </w:t>
      </w:r>
      <w:r>
        <w:rPr>
          <w:rFonts w:ascii="Times New Roman" w:eastAsia="Times New Roman" w:hAnsi="Times New Roman" w:cs="Times New Roman"/>
          <w:i/>
          <w:iCs/>
          <w:sz w:val="20"/>
          <w:szCs w:val="20"/>
        </w:rPr>
        <w:t>Ley 2069 de 2020. Por medio de la cual se impulsa el emprendimiento en Colombia.</w:t>
      </w:r>
      <w:r>
        <w:rPr>
          <w:rFonts w:ascii="Times New Roman" w:eastAsia="Times New Roman" w:hAnsi="Times New Roman" w:cs="Times New Roman"/>
          <w:sz w:val="20"/>
          <w:szCs w:val="20"/>
        </w:rPr>
        <w:t xml:space="preserve"> Recuperado de: </w:t>
      </w:r>
      <w:hyperlink r:id="rId33">
        <w:r w:rsidR="00E63642">
          <w:rPr>
            <w:rFonts w:ascii="Times New Roman" w:eastAsia="Times New Roman" w:hAnsi="Times New Roman" w:cs="Times New Roman"/>
            <w:color w:val="467886"/>
            <w:sz w:val="20"/>
            <w:szCs w:val="20"/>
            <w:u w:val="single"/>
          </w:rPr>
          <w:t>https://www.funcionpublica.gov.co/eva/gestornormativo/norma.php?i=160966</w:t>
        </w:r>
      </w:hyperlink>
      <w:r>
        <w:rPr>
          <w:rFonts w:ascii="Times New Roman" w:eastAsia="Times New Roman" w:hAnsi="Times New Roman" w:cs="Times New Roman"/>
          <w:sz w:val="20"/>
          <w:szCs w:val="20"/>
        </w:rPr>
        <w:t xml:space="preserve"> </w:t>
      </w:r>
    </w:p>
  </w:footnote>
  <w:footnote w:id="49">
    <w:p w14:paraId="7A006618" w14:textId="77777777" w:rsidR="00E63642" w:rsidRDefault="00BC177F">
      <w:pPr>
        <w:jc w:val="both"/>
        <w:rPr>
          <w:rFonts w:ascii="Times New Roman" w:eastAsia="Times New Roman" w:hAnsi="Times New Roman" w:cs="Times New Roman"/>
          <w:i/>
          <w:iCs/>
          <w:sz w:val="18"/>
          <w:szCs w:val="18"/>
        </w:rPr>
      </w:pPr>
      <w:r>
        <w:rPr>
          <w:vertAlign w:val="superscript"/>
        </w:rPr>
        <w:footnoteRef/>
      </w:r>
      <w:r>
        <w:rPr>
          <w:rFonts w:ascii="Times New Roman" w:eastAsia="Times New Roman" w:hAnsi="Times New Roman" w:cs="Times New Roman"/>
          <w:sz w:val="18"/>
          <w:szCs w:val="18"/>
        </w:rPr>
        <w:t xml:space="preserve"> Congreso de la República de Colombia. (27 de diciembre de 1989).</w:t>
      </w:r>
      <w:r>
        <w:rPr>
          <w:rFonts w:ascii="Times New Roman" w:eastAsia="Times New Roman" w:hAnsi="Times New Roman" w:cs="Times New Roman"/>
          <w:i/>
          <w:iCs/>
          <w:sz w:val="18"/>
          <w:szCs w:val="18"/>
        </w:rPr>
        <w:t xml:space="preserve"> Ley 84 de 1989. Por la cual se adopta el Estatuto Nacional de Protección de los Animales y se crean unas contravenciones y se regula lo referente a su procedimiento y competencia. </w:t>
      </w:r>
    </w:p>
  </w:footnote>
  <w:footnote w:id="50">
    <w:p w14:paraId="7C599B27"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Congreso de la República de Colombia. (6 de enero de 2016). </w:t>
      </w:r>
      <w:r>
        <w:rPr>
          <w:rFonts w:ascii="Times New Roman" w:eastAsia="Times New Roman" w:hAnsi="Times New Roman" w:cs="Times New Roman"/>
          <w:i/>
          <w:iCs/>
          <w:sz w:val="18"/>
          <w:szCs w:val="18"/>
        </w:rPr>
        <w:t xml:space="preserve">Ley 1774 de 2016. Por medio del cual se modifican el Código Civil, la Ley 84 de 1989, el Código Penal, el Código de Procedimiento Penal y se dictan otras disposiciones. </w:t>
      </w:r>
      <w:r>
        <w:rPr>
          <w:rFonts w:ascii="Times New Roman" w:eastAsia="Times New Roman" w:hAnsi="Times New Roman" w:cs="Times New Roman"/>
          <w:sz w:val="18"/>
          <w:szCs w:val="18"/>
        </w:rPr>
        <w:t xml:space="preserve">Recuperado de: </w:t>
      </w:r>
      <w:hyperlink r:id="rId34">
        <w:r w:rsidR="00E63642">
          <w:rPr>
            <w:rFonts w:ascii="Times New Roman" w:eastAsia="Times New Roman" w:hAnsi="Times New Roman" w:cs="Times New Roman"/>
            <w:color w:val="1155CC"/>
            <w:sz w:val="18"/>
            <w:szCs w:val="18"/>
            <w:u w:val="single"/>
          </w:rPr>
          <w:t>https://www.funcionpublica.gov.co/eva/gestornormativo/norma.php?i=68135</w:t>
        </w:r>
      </w:hyperlink>
      <w:r>
        <w:rPr>
          <w:rFonts w:ascii="Times New Roman" w:eastAsia="Times New Roman" w:hAnsi="Times New Roman" w:cs="Times New Roman"/>
          <w:sz w:val="18"/>
          <w:szCs w:val="18"/>
        </w:rPr>
        <w:t xml:space="preserve"> </w:t>
      </w:r>
    </w:p>
  </w:footnote>
  <w:footnote w:id="51">
    <w:p w14:paraId="14A231DD" w14:textId="77777777" w:rsidR="00E63642" w:rsidRDefault="00BC177F">
      <w:pPr>
        <w:jc w:val="both"/>
        <w:rPr>
          <w:sz w:val="18"/>
          <w:szCs w:val="18"/>
        </w:rPr>
      </w:pPr>
      <w:r>
        <w:rPr>
          <w:vertAlign w:val="superscript"/>
        </w:rPr>
        <w:footnoteRef/>
      </w:r>
      <w:r>
        <w:rPr>
          <w:sz w:val="18"/>
          <w:szCs w:val="18"/>
        </w:rPr>
        <w:t xml:space="preserve"> </w:t>
      </w:r>
      <w:r>
        <w:rPr>
          <w:rFonts w:ascii="Times New Roman" w:eastAsia="Times New Roman" w:hAnsi="Times New Roman" w:cs="Times New Roman"/>
          <w:sz w:val="18"/>
          <w:szCs w:val="18"/>
        </w:rPr>
        <w:t xml:space="preserve">Congreso de la República de Colombia. (2024). Proyecto de </w:t>
      </w:r>
      <w:r>
        <w:rPr>
          <w:rFonts w:ascii="Times New Roman" w:eastAsia="Times New Roman" w:hAnsi="Times New Roman" w:cs="Times New Roman"/>
          <w:i/>
          <w:iCs/>
          <w:sz w:val="18"/>
          <w:szCs w:val="18"/>
        </w:rPr>
        <w:t>Ley 452 de 2024. Por medio de la cual se regulan los servicios de cuidado para animales de compañía, se protegen los derechos de los usuarios y se dictan otras disposiciones: "Ley Kiara".</w:t>
      </w:r>
      <w:r>
        <w:rPr>
          <w:rFonts w:ascii="Times New Roman" w:eastAsia="Times New Roman" w:hAnsi="Times New Roman" w:cs="Times New Roman"/>
          <w:sz w:val="18"/>
          <w:szCs w:val="18"/>
        </w:rPr>
        <w:t xml:space="preserve"> Recuperado de: </w:t>
      </w:r>
      <w:hyperlink r:id="rId35">
        <w:r w:rsidR="00E63642">
          <w:rPr>
            <w:rFonts w:ascii="Times New Roman" w:eastAsia="Times New Roman" w:hAnsi="Times New Roman" w:cs="Times New Roman"/>
            <w:color w:val="1155CC"/>
            <w:sz w:val="18"/>
            <w:szCs w:val="18"/>
            <w:u w:val="single"/>
          </w:rPr>
          <w:t>https://www.camara.gov.co/ley-kiara</w:t>
        </w:r>
      </w:hyperlink>
    </w:p>
  </w:footnote>
  <w:footnote w:id="52">
    <w:p w14:paraId="2D5FA728"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Alcalde Mayor de Bogotá D.C. (22 de junio de 2015). </w:t>
      </w:r>
      <w:r>
        <w:rPr>
          <w:rFonts w:ascii="Times New Roman" w:eastAsia="Times New Roman" w:hAnsi="Times New Roman" w:cs="Times New Roman"/>
          <w:i/>
          <w:iCs/>
          <w:sz w:val="18"/>
          <w:szCs w:val="18"/>
        </w:rPr>
        <w:t>Decreto Distrital 242 de 2015. Por el cual se adopta la Política Pública Distrital de Protección y Bienestar Animal 2014-2038 y se dictan otras disposiciones.</w:t>
      </w:r>
      <w:r>
        <w:rPr>
          <w:rFonts w:ascii="Times New Roman" w:eastAsia="Times New Roman" w:hAnsi="Times New Roman" w:cs="Times New Roman"/>
          <w:sz w:val="18"/>
          <w:szCs w:val="18"/>
        </w:rPr>
        <w:t xml:space="preserve"> Recuperado de: </w:t>
      </w:r>
      <w:hyperlink r:id="rId36">
        <w:r w:rsidR="00E63642">
          <w:rPr>
            <w:rFonts w:ascii="Times New Roman" w:eastAsia="Times New Roman" w:hAnsi="Times New Roman" w:cs="Times New Roman"/>
            <w:color w:val="1155CC"/>
            <w:sz w:val="18"/>
            <w:szCs w:val="18"/>
            <w:u w:val="single"/>
          </w:rPr>
          <w:t>https://www.alcaldiabogota.gov.co/sisjur/normas/Norma1.jsp?dt=S&amp;i=62072</w:t>
        </w:r>
      </w:hyperlink>
      <w:r>
        <w:rPr>
          <w:rFonts w:ascii="Times New Roman" w:eastAsia="Times New Roman" w:hAnsi="Times New Roman" w:cs="Times New Roman"/>
          <w:sz w:val="18"/>
          <w:szCs w:val="18"/>
        </w:rPr>
        <w:t xml:space="preserve"> </w:t>
      </w:r>
    </w:p>
  </w:footnote>
  <w:footnote w:id="53">
    <w:p w14:paraId="499C6207"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Concejo de Bogotá D.C. (30 de agosto de 2021). </w:t>
      </w:r>
      <w:r>
        <w:rPr>
          <w:rFonts w:ascii="Times New Roman" w:eastAsia="Times New Roman" w:hAnsi="Times New Roman" w:cs="Times New Roman"/>
          <w:i/>
          <w:iCs/>
          <w:sz w:val="18"/>
          <w:szCs w:val="18"/>
        </w:rPr>
        <w:t>Acuerdo Distrital 819 de 2021. Por el cual se integran acciones para fomentar el emprendimiento de mujeres “EME” - empresas con manos de mujer dentro de las estrategias de la secretaría de desarrollo económico y se dictan otras disposiciones.</w:t>
      </w:r>
      <w:r>
        <w:rPr>
          <w:rFonts w:ascii="Times New Roman" w:eastAsia="Times New Roman" w:hAnsi="Times New Roman" w:cs="Times New Roman"/>
          <w:sz w:val="18"/>
          <w:szCs w:val="18"/>
        </w:rPr>
        <w:t xml:space="preserve"> Recuperado de: </w:t>
      </w:r>
      <w:hyperlink r:id="rId37">
        <w:r w:rsidR="00E63642">
          <w:rPr>
            <w:rFonts w:ascii="Times New Roman" w:eastAsia="Times New Roman" w:hAnsi="Times New Roman" w:cs="Times New Roman"/>
            <w:color w:val="1155CC"/>
            <w:sz w:val="18"/>
            <w:szCs w:val="18"/>
            <w:u w:val="single"/>
          </w:rPr>
          <w:t>https://www.alcaldiabogota.gov.co/sisjur/normas/Norma1.jsp?dt=S&amp;i=116186</w:t>
        </w:r>
      </w:hyperlink>
      <w:r>
        <w:rPr>
          <w:rFonts w:ascii="Times New Roman" w:eastAsia="Times New Roman" w:hAnsi="Times New Roman" w:cs="Times New Roman"/>
          <w:sz w:val="18"/>
          <w:szCs w:val="18"/>
        </w:rPr>
        <w:t xml:space="preserve"> </w:t>
      </w:r>
    </w:p>
  </w:footnote>
  <w:footnote w:id="54">
    <w:p w14:paraId="0F697EBD"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Concejo de Bogotá D.C. (20 de septiembre de 2022).</w:t>
      </w:r>
      <w:r>
        <w:rPr>
          <w:rFonts w:ascii="Times New Roman" w:eastAsia="Times New Roman" w:hAnsi="Times New Roman" w:cs="Times New Roman"/>
          <w:i/>
          <w:iCs/>
          <w:sz w:val="18"/>
          <w:szCs w:val="18"/>
        </w:rPr>
        <w:t xml:space="preserve"> Acuerdo Distrital 848 de 2022. Por medio del cual se incentiva el emprendimiento en la educación básica secundaria y media en las instituciones educativas públicas de la ciudad y se dictan otras disposiciones.</w:t>
      </w:r>
      <w:r>
        <w:rPr>
          <w:rFonts w:ascii="Times New Roman" w:eastAsia="Times New Roman" w:hAnsi="Times New Roman" w:cs="Times New Roman"/>
          <w:sz w:val="18"/>
          <w:szCs w:val="18"/>
        </w:rPr>
        <w:t xml:space="preserve"> Recuperado de: </w:t>
      </w:r>
      <w:hyperlink r:id="rId38">
        <w:r w:rsidR="00E63642">
          <w:rPr>
            <w:rFonts w:ascii="Times New Roman" w:eastAsia="Times New Roman" w:hAnsi="Times New Roman" w:cs="Times New Roman"/>
            <w:color w:val="1155CC"/>
            <w:sz w:val="18"/>
            <w:szCs w:val="18"/>
            <w:u w:val="single"/>
          </w:rPr>
          <w:t>https://www.alcaldiabogota.gov.co/sisjur/normas/Norma1.jsp?i=128339</w:t>
        </w:r>
      </w:hyperlink>
      <w:r>
        <w:rPr>
          <w:rFonts w:ascii="Times New Roman" w:eastAsia="Times New Roman" w:hAnsi="Times New Roman" w:cs="Times New Roman"/>
          <w:sz w:val="18"/>
          <w:szCs w:val="18"/>
        </w:rPr>
        <w:t xml:space="preserve"> </w:t>
      </w:r>
    </w:p>
  </w:footnote>
  <w:footnote w:id="55">
    <w:p w14:paraId="5D2FC41E"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Concejo de Bogotá D.C. (18 de agosto de 2021). </w:t>
      </w:r>
      <w:r>
        <w:rPr>
          <w:rFonts w:ascii="Times New Roman" w:eastAsia="Times New Roman" w:hAnsi="Times New Roman" w:cs="Times New Roman"/>
          <w:i/>
          <w:iCs/>
          <w:sz w:val="18"/>
          <w:szCs w:val="18"/>
        </w:rPr>
        <w:t>Acuerdo Distrital 814 de 2021. Por el cual se reconoce, fortalece y apoya la labor de las cuidadoras, los cuidadores y los hogares de paso de animales domésticos rescatados en el Distrito Capital</w:t>
      </w:r>
      <w:r>
        <w:rPr>
          <w:rFonts w:ascii="Times New Roman" w:eastAsia="Times New Roman" w:hAnsi="Times New Roman" w:cs="Times New Roman"/>
          <w:sz w:val="18"/>
          <w:szCs w:val="18"/>
        </w:rPr>
        <w:t xml:space="preserve">. Recuperado de: </w:t>
      </w:r>
      <w:hyperlink r:id="rId39">
        <w:r w:rsidR="00E63642">
          <w:rPr>
            <w:rFonts w:ascii="Times New Roman" w:eastAsia="Times New Roman" w:hAnsi="Times New Roman" w:cs="Times New Roman"/>
            <w:color w:val="1155CC"/>
            <w:sz w:val="18"/>
            <w:szCs w:val="18"/>
            <w:u w:val="single"/>
          </w:rPr>
          <w:t>https://www.alcaldiabogota.gov.co/sisjur/normas/Norma1.jsp?i=115961</w:t>
        </w:r>
      </w:hyperlink>
      <w:r>
        <w:rPr>
          <w:rFonts w:ascii="Times New Roman" w:eastAsia="Times New Roman" w:hAnsi="Times New Roman" w:cs="Times New Roman"/>
          <w:sz w:val="18"/>
          <w:szCs w:val="18"/>
        </w:rPr>
        <w:t xml:space="preserve"> </w:t>
      </w:r>
    </w:p>
  </w:footnote>
  <w:footnote w:id="56">
    <w:p w14:paraId="0C839A3A"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Corte Constitucional de Colombia. (31 de agosto de 2016). </w:t>
      </w:r>
      <w:r>
        <w:rPr>
          <w:rFonts w:ascii="Times New Roman" w:eastAsia="Times New Roman" w:hAnsi="Times New Roman" w:cs="Times New Roman"/>
          <w:i/>
          <w:iCs/>
          <w:sz w:val="18"/>
          <w:szCs w:val="18"/>
        </w:rPr>
        <w:t xml:space="preserve">Sentencia C - 467 de 2016. </w:t>
      </w:r>
      <w:r>
        <w:rPr>
          <w:rFonts w:ascii="Times New Roman" w:eastAsia="Times New Roman" w:hAnsi="Times New Roman" w:cs="Times New Roman"/>
          <w:sz w:val="18"/>
          <w:szCs w:val="18"/>
        </w:rPr>
        <w:t xml:space="preserve">M.P. Luis Guillermo Guerrero Pérez. Recuperado de: </w:t>
      </w:r>
      <w:hyperlink r:id="rId40">
        <w:r w:rsidR="00E63642">
          <w:rPr>
            <w:rFonts w:ascii="Times New Roman" w:eastAsia="Times New Roman" w:hAnsi="Times New Roman" w:cs="Times New Roman"/>
            <w:color w:val="1155CC"/>
            <w:sz w:val="18"/>
            <w:szCs w:val="18"/>
            <w:u w:val="single"/>
          </w:rPr>
          <w:t>https://www.corteconstitucional.gov.co/relatoria/2016/C-467-16.htm</w:t>
        </w:r>
      </w:hyperlink>
      <w:r>
        <w:rPr>
          <w:rFonts w:ascii="Times New Roman" w:eastAsia="Times New Roman" w:hAnsi="Times New Roman" w:cs="Times New Roman"/>
          <w:sz w:val="18"/>
          <w:szCs w:val="18"/>
        </w:rPr>
        <w:t xml:space="preserve"> </w:t>
      </w:r>
    </w:p>
  </w:footnote>
  <w:footnote w:id="57">
    <w:p w14:paraId="2FC0690E"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Corte Constitucional de Colombia. (24 de mayo de 2017).</w:t>
      </w:r>
      <w:r>
        <w:rPr>
          <w:rFonts w:ascii="Times New Roman" w:eastAsia="Times New Roman" w:hAnsi="Times New Roman" w:cs="Times New Roman"/>
          <w:i/>
          <w:iCs/>
          <w:sz w:val="18"/>
          <w:szCs w:val="18"/>
        </w:rPr>
        <w:t xml:space="preserve"> Sentencia C - 343 de 2017.</w:t>
      </w:r>
      <w:r>
        <w:rPr>
          <w:rFonts w:ascii="Times New Roman" w:eastAsia="Times New Roman" w:hAnsi="Times New Roman" w:cs="Times New Roman"/>
          <w:sz w:val="18"/>
          <w:szCs w:val="18"/>
        </w:rPr>
        <w:t xml:space="preserve"> M.P. Alejandro Linares Cantillo. Recuperado de: </w:t>
      </w:r>
      <w:hyperlink r:id="rId41">
        <w:r w:rsidR="00E63642">
          <w:rPr>
            <w:rFonts w:ascii="Times New Roman" w:eastAsia="Times New Roman" w:hAnsi="Times New Roman" w:cs="Times New Roman"/>
            <w:color w:val="1155CC"/>
            <w:sz w:val="18"/>
            <w:szCs w:val="18"/>
            <w:u w:val="single"/>
          </w:rPr>
          <w:t>https://www.corteconstitucional.gov.co/relatoria/2017/C-343-17.htm</w:t>
        </w:r>
      </w:hyperlink>
      <w:r>
        <w:rPr>
          <w:rFonts w:ascii="Times New Roman" w:eastAsia="Times New Roman" w:hAnsi="Times New Roman" w:cs="Times New Roman"/>
          <w:sz w:val="18"/>
          <w:szCs w:val="18"/>
        </w:rPr>
        <w:t xml:space="preserve"> </w:t>
      </w:r>
    </w:p>
  </w:footnote>
  <w:footnote w:id="58">
    <w:p w14:paraId="038B0A97" w14:textId="77777777" w:rsidR="00E63642" w:rsidRDefault="00BC177F">
      <w:pPr>
        <w:jc w:val="both"/>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18"/>
          <w:szCs w:val="18"/>
        </w:rPr>
        <w:t xml:space="preserve"> Corte Constitucional de Colombia. (5 de mayo de 2023). </w:t>
      </w:r>
      <w:r>
        <w:rPr>
          <w:rFonts w:ascii="Times New Roman" w:eastAsia="Times New Roman" w:hAnsi="Times New Roman" w:cs="Times New Roman"/>
          <w:i/>
          <w:iCs/>
          <w:sz w:val="18"/>
          <w:szCs w:val="18"/>
        </w:rPr>
        <w:t xml:space="preserve">Sentencia T - 142 de 2023. </w:t>
      </w:r>
      <w:r>
        <w:rPr>
          <w:rFonts w:ascii="Times New Roman" w:eastAsia="Times New Roman" w:hAnsi="Times New Roman" w:cs="Times New Roman"/>
          <w:sz w:val="18"/>
          <w:szCs w:val="18"/>
        </w:rPr>
        <w:t xml:space="preserve">M.P. José Fernando Reyes Cuartas. Recuperado de: </w:t>
      </w:r>
      <w:hyperlink r:id="rId42">
        <w:r w:rsidR="00E63642">
          <w:rPr>
            <w:rFonts w:ascii="Times New Roman" w:eastAsia="Times New Roman" w:hAnsi="Times New Roman" w:cs="Times New Roman"/>
            <w:color w:val="1155CC"/>
            <w:sz w:val="18"/>
            <w:szCs w:val="18"/>
            <w:u w:val="single"/>
          </w:rPr>
          <w:t>https://www.corteconstitucional.gov.co/relatoria/2023/T-142-23.htm</w:t>
        </w:r>
      </w:hyperlink>
      <w:r>
        <w:rPr>
          <w:rFonts w:ascii="Times New Roman" w:eastAsia="Times New Roman" w:hAnsi="Times New Roman" w:cs="Times New Roman"/>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69AA47" w14:textId="77777777" w:rsidR="00E63642" w:rsidRDefault="00E63642">
    <w:pPr>
      <w:widowControl w:val="0"/>
      <w:pBdr>
        <w:top w:val="nil"/>
        <w:left w:val="nil"/>
        <w:bottom w:val="nil"/>
        <w:right w:val="nil"/>
        <w:between w:val="nil"/>
      </w:pBdr>
      <w:spacing w:line="276" w:lineRule="auto"/>
      <w:rPr>
        <w:rFonts w:ascii="Bookman Old Style" w:eastAsia="Bookman Old Style" w:hAnsi="Bookman Old Style" w:cs="Bookman Old Style"/>
        <w:sz w:val="20"/>
        <w:szCs w:val="20"/>
      </w:rPr>
    </w:pPr>
  </w:p>
  <w:tbl>
    <w:tblPr>
      <w:tblStyle w:val="afa"/>
      <w:tblW w:w="8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61"/>
      <w:gridCol w:w="4235"/>
      <w:gridCol w:w="2234"/>
    </w:tblGrid>
    <w:tr w:rsidR="00E63642" w14:paraId="72B3BBF9" w14:textId="77777777">
      <w:trPr>
        <w:trHeight w:val="454"/>
      </w:trPr>
      <w:tc>
        <w:tcPr>
          <w:tcW w:w="2361" w:type="dxa"/>
          <w:vMerge w:val="restart"/>
          <w:vAlign w:val="center"/>
        </w:tcPr>
        <w:p w14:paraId="69B63A89" w14:textId="77777777" w:rsidR="00E63642" w:rsidRDefault="00BC177F">
          <w:pPr>
            <w:jc w:val="center"/>
            <w:rPr>
              <w:sz w:val="16"/>
              <w:szCs w:val="16"/>
            </w:rPr>
          </w:pPr>
          <w:r>
            <w:rPr>
              <w:noProof/>
              <w:sz w:val="16"/>
              <w:szCs w:val="16"/>
              <w:lang w:val="es-CO"/>
            </w:rPr>
            <w:drawing>
              <wp:inline distT="0" distB="0" distL="0" distR="0" wp14:anchorId="120585FF" wp14:editId="78F23C02">
                <wp:extent cx="749935" cy="883920"/>
                <wp:effectExtent l="0" t="0" r="0" b="0"/>
                <wp:docPr id="179886255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749935" cy="883920"/>
                        </a:xfrm>
                        <a:prstGeom prst="rect">
                          <a:avLst/>
                        </a:prstGeom>
                        <a:ln/>
                      </pic:spPr>
                    </pic:pic>
                  </a:graphicData>
                </a:graphic>
              </wp:inline>
            </w:drawing>
          </w:r>
        </w:p>
      </w:tc>
      <w:tc>
        <w:tcPr>
          <w:tcW w:w="4235" w:type="dxa"/>
          <w:vAlign w:val="center"/>
        </w:tcPr>
        <w:p w14:paraId="0EF08452" w14:textId="77777777" w:rsidR="00E63642" w:rsidRDefault="00BC177F">
          <w:pPr>
            <w:jc w:val="center"/>
            <w:rPr>
              <w:sz w:val="18"/>
              <w:szCs w:val="18"/>
            </w:rPr>
          </w:pPr>
          <w:r>
            <w:rPr>
              <w:sz w:val="18"/>
              <w:szCs w:val="18"/>
            </w:rPr>
            <w:t>PROCESO GESTIÓN NORMATIVA</w:t>
          </w:r>
        </w:p>
      </w:tc>
      <w:tc>
        <w:tcPr>
          <w:tcW w:w="2234" w:type="dxa"/>
          <w:vAlign w:val="center"/>
        </w:tcPr>
        <w:p w14:paraId="3C10FC81" w14:textId="77777777" w:rsidR="00E63642" w:rsidRDefault="00BC177F">
          <w:pPr>
            <w:rPr>
              <w:sz w:val="16"/>
              <w:szCs w:val="16"/>
            </w:rPr>
          </w:pPr>
          <w:r>
            <w:rPr>
              <w:sz w:val="16"/>
              <w:szCs w:val="16"/>
            </w:rPr>
            <w:t>CÓDIGO</w:t>
          </w:r>
          <w:r>
            <w:rPr>
              <w:color w:val="3366FF"/>
              <w:sz w:val="16"/>
              <w:szCs w:val="16"/>
            </w:rPr>
            <w:t xml:space="preserve">: </w:t>
          </w:r>
          <w:r>
            <w:rPr>
              <w:sz w:val="16"/>
              <w:szCs w:val="16"/>
            </w:rPr>
            <w:t>GNV-FO-001</w:t>
          </w:r>
        </w:p>
      </w:tc>
    </w:tr>
    <w:tr w:rsidR="00E63642" w14:paraId="04A5BEB0" w14:textId="77777777">
      <w:trPr>
        <w:trHeight w:val="454"/>
      </w:trPr>
      <w:tc>
        <w:tcPr>
          <w:tcW w:w="2361" w:type="dxa"/>
          <w:vMerge/>
          <w:vAlign w:val="center"/>
        </w:tcPr>
        <w:p w14:paraId="743F3ADC" w14:textId="77777777" w:rsidR="00E63642" w:rsidRDefault="00E63642">
          <w:pPr>
            <w:widowControl w:val="0"/>
            <w:pBdr>
              <w:top w:val="nil"/>
              <w:left w:val="nil"/>
              <w:bottom w:val="nil"/>
              <w:right w:val="nil"/>
              <w:between w:val="nil"/>
            </w:pBdr>
            <w:spacing w:line="276" w:lineRule="auto"/>
            <w:rPr>
              <w:sz w:val="16"/>
              <w:szCs w:val="16"/>
            </w:rPr>
          </w:pPr>
        </w:p>
      </w:tc>
      <w:tc>
        <w:tcPr>
          <w:tcW w:w="4235" w:type="dxa"/>
          <w:vMerge w:val="restart"/>
          <w:vAlign w:val="center"/>
        </w:tcPr>
        <w:p w14:paraId="38C2106B" w14:textId="77777777" w:rsidR="00E63642" w:rsidRDefault="00BC177F">
          <w:pPr>
            <w:jc w:val="center"/>
            <w:rPr>
              <w:sz w:val="20"/>
              <w:szCs w:val="20"/>
            </w:rPr>
          </w:pPr>
          <w:r>
            <w:rPr>
              <w:sz w:val="20"/>
              <w:szCs w:val="20"/>
            </w:rPr>
            <w:t>PRESENTACIÓN PROYECTOS DE ACUERDO</w:t>
          </w:r>
        </w:p>
      </w:tc>
      <w:tc>
        <w:tcPr>
          <w:tcW w:w="2234" w:type="dxa"/>
          <w:vAlign w:val="center"/>
        </w:tcPr>
        <w:p w14:paraId="07FCB483" w14:textId="77777777" w:rsidR="00E63642" w:rsidRDefault="00BC177F">
          <w:pPr>
            <w:rPr>
              <w:sz w:val="16"/>
              <w:szCs w:val="16"/>
            </w:rPr>
          </w:pPr>
          <w:r>
            <w:rPr>
              <w:sz w:val="16"/>
              <w:szCs w:val="16"/>
            </w:rPr>
            <w:t>VERSIÓN:    02</w:t>
          </w:r>
        </w:p>
      </w:tc>
    </w:tr>
    <w:tr w:rsidR="00E63642" w14:paraId="4CD55540" w14:textId="77777777">
      <w:trPr>
        <w:trHeight w:val="454"/>
      </w:trPr>
      <w:tc>
        <w:tcPr>
          <w:tcW w:w="2361" w:type="dxa"/>
          <w:vMerge/>
          <w:vAlign w:val="center"/>
        </w:tcPr>
        <w:p w14:paraId="65912925" w14:textId="77777777" w:rsidR="00E63642" w:rsidRDefault="00E63642">
          <w:pPr>
            <w:widowControl w:val="0"/>
            <w:pBdr>
              <w:top w:val="nil"/>
              <w:left w:val="nil"/>
              <w:bottom w:val="nil"/>
              <w:right w:val="nil"/>
              <w:between w:val="nil"/>
            </w:pBdr>
            <w:spacing w:line="276" w:lineRule="auto"/>
            <w:rPr>
              <w:sz w:val="16"/>
              <w:szCs w:val="16"/>
            </w:rPr>
          </w:pPr>
        </w:p>
      </w:tc>
      <w:tc>
        <w:tcPr>
          <w:tcW w:w="4235" w:type="dxa"/>
          <w:vMerge/>
          <w:vAlign w:val="center"/>
        </w:tcPr>
        <w:p w14:paraId="0CE46E06" w14:textId="77777777" w:rsidR="00E63642" w:rsidRDefault="00E63642">
          <w:pPr>
            <w:widowControl w:val="0"/>
            <w:pBdr>
              <w:top w:val="nil"/>
              <w:left w:val="nil"/>
              <w:bottom w:val="nil"/>
              <w:right w:val="nil"/>
              <w:between w:val="nil"/>
            </w:pBdr>
            <w:spacing w:line="276" w:lineRule="auto"/>
            <w:rPr>
              <w:sz w:val="16"/>
              <w:szCs w:val="16"/>
            </w:rPr>
          </w:pPr>
        </w:p>
      </w:tc>
      <w:tc>
        <w:tcPr>
          <w:tcW w:w="2234" w:type="dxa"/>
          <w:vAlign w:val="center"/>
        </w:tcPr>
        <w:p w14:paraId="325DA024" w14:textId="77777777" w:rsidR="00E63642" w:rsidRDefault="00BC177F">
          <w:pPr>
            <w:rPr>
              <w:sz w:val="16"/>
              <w:szCs w:val="16"/>
            </w:rPr>
          </w:pPr>
          <w:r>
            <w:rPr>
              <w:sz w:val="16"/>
              <w:szCs w:val="16"/>
            </w:rPr>
            <w:t>FECHA: 14-Nov-2019</w:t>
          </w:r>
        </w:p>
      </w:tc>
    </w:tr>
  </w:tbl>
  <w:p w14:paraId="2F345FBA" w14:textId="77777777" w:rsidR="00E63642" w:rsidRDefault="00E63642">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96B4D"/>
    <w:multiLevelType w:val="multilevel"/>
    <w:tmpl w:val="92FE943E"/>
    <w:lvl w:ilvl="0">
      <w:start w:val="1"/>
      <w:numFmt w:val="decimal"/>
      <w:lvlText w:val="%1."/>
      <w:lvlJc w:val="left"/>
      <w:pPr>
        <w:ind w:left="720" w:hanging="360"/>
      </w:pPr>
      <w:rPr>
        <w:u w:val="none"/>
      </w:rPr>
    </w:lvl>
    <w:lvl w:ilvl="1">
      <w:start w:val="1"/>
      <w:numFmt w:val="decimal"/>
      <w:lvlText w:val="%1.%2."/>
      <w:lvlJc w:val="left"/>
      <w:pPr>
        <w:ind w:left="1080" w:hanging="720"/>
      </w:pPr>
      <w:rPr>
        <w:u w:val="none"/>
      </w:rPr>
    </w:lvl>
    <w:lvl w:ilvl="2">
      <w:start w:val="1"/>
      <w:numFmt w:val="decimal"/>
      <w:lvlText w:val="%1.%2.%3."/>
      <w:lvlJc w:val="left"/>
      <w:pPr>
        <w:ind w:left="1080" w:hanging="720"/>
      </w:pPr>
      <w:rPr>
        <w:u w:val="none"/>
      </w:rPr>
    </w:lvl>
    <w:lvl w:ilvl="3">
      <w:start w:val="1"/>
      <w:numFmt w:val="decimal"/>
      <w:lvlText w:val="%1.%2.%3.%4."/>
      <w:lvlJc w:val="left"/>
      <w:pPr>
        <w:ind w:left="1440" w:hanging="1080"/>
      </w:pPr>
      <w:rPr>
        <w:u w:val="none"/>
      </w:rPr>
    </w:lvl>
    <w:lvl w:ilvl="4">
      <w:start w:val="1"/>
      <w:numFmt w:val="decimal"/>
      <w:lvlText w:val="%1.%2.%3.%4.%5."/>
      <w:lvlJc w:val="left"/>
      <w:pPr>
        <w:ind w:left="1440" w:hanging="1080"/>
      </w:pPr>
      <w:rPr>
        <w:u w:val="none"/>
      </w:rPr>
    </w:lvl>
    <w:lvl w:ilvl="5">
      <w:start w:val="1"/>
      <w:numFmt w:val="decimal"/>
      <w:lvlText w:val="%1.%2.%3.%4.%5.%6."/>
      <w:lvlJc w:val="left"/>
      <w:pPr>
        <w:ind w:left="1800" w:hanging="1440"/>
      </w:pPr>
      <w:rPr>
        <w:u w:val="none"/>
      </w:rPr>
    </w:lvl>
    <w:lvl w:ilvl="6">
      <w:start w:val="1"/>
      <w:numFmt w:val="decimal"/>
      <w:lvlText w:val="%1.%2.%3.%4.%5.%6.%7."/>
      <w:lvlJc w:val="left"/>
      <w:pPr>
        <w:ind w:left="1800" w:hanging="1440"/>
      </w:pPr>
      <w:rPr>
        <w:u w:val="none"/>
      </w:rPr>
    </w:lvl>
    <w:lvl w:ilvl="7">
      <w:start w:val="1"/>
      <w:numFmt w:val="decimal"/>
      <w:lvlText w:val="%1.%2.%3.%4.%5.%6.%7.%8."/>
      <w:lvlJc w:val="left"/>
      <w:pPr>
        <w:ind w:left="2160" w:hanging="1800"/>
      </w:pPr>
      <w:rPr>
        <w:u w:val="none"/>
      </w:rPr>
    </w:lvl>
    <w:lvl w:ilvl="8">
      <w:start w:val="1"/>
      <w:numFmt w:val="decimal"/>
      <w:lvlText w:val="%1.%2.%3.%4.%5.%6.%7.%8.%9."/>
      <w:lvlJc w:val="left"/>
      <w:pPr>
        <w:ind w:left="2160" w:hanging="1800"/>
      </w:pPr>
      <w:rPr>
        <w:u w:val="none"/>
      </w:rPr>
    </w:lvl>
  </w:abstractNum>
  <w:abstractNum w:abstractNumId="1" w15:restartNumberingAfterBreak="0">
    <w:nsid w:val="0B0D2658"/>
    <w:multiLevelType w:val="multilevel"/>
    <w:tmpl w:val="59AA46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9BB374E"/>
    <w:multiLevelType w:val="multilevel"/>
    <w:tmpl w:val="EF3A3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673173E"/>
    <w:multiLevelType w:val="multilevel"/>
    <w:tmpl w:val="96EA19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3642"/>
    <w:rsid w:val="002A142C"/>
    <w:rsid w:val="003A79B7"/>
    <w:rsid w:val="00557595"/>
    <w:rsid w:val="005D5F94"/>
    <w:rsid w:val="007B2BA6"/>
    <w:rsid w:val="007C1855"/>
    <w:rsid w:val="009C65EF"/>
    <w:rsid w:val="00A332F9"/>
    <w:rsid w:val="00B420D1"/>
    <w:rsid w:val="00BC177F"/>
    <w:rsid w:val="00C666E1"/>
    <w:rsid w:val="00E600E7"/>
    <w:rsid w:val="00E63642"/>
    <w:rsid w:val="00E976F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DD1724"/>
  <w15:docId w15:val="{871C3114-6C5F-4375-895F-6162424537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jc w:val="center"/>
      <w:outlineLvl w:val="0"/>
    </w:pPr>
    <w:rPr>
      <w:rFonts w:ascii="Times New Roman" w:eastAsia="Times New Roman" w:hAnsi="Times New Roman" w:cs="Times New Roman"/>
      <w:color w:val="000000"/>
    </w:rPr>
  </w:style>
  <w:style w:type="paragraph" w:styleId="Ttulo2">
    <w:name w:val="heading 2"/>
    <w:basedOn w:val="Normal"/>
    <w:next w:val="Normal"/>
    <w:uiPriority w:val="9"/>
    <w:semiHidden/>
    <w:unhideWhenUsed/>
    <w:qFormat/>
    <w:pPr>
      <w:keepNext/>
      <w:outlineLvl w:val="1"/>
    </w:pPr>
    <w:rPr>
      <w:rFonts w:ascii="Times New Roman" w:eastAsia="Times New Roman" w:hAnsi="Times New Roman" w:cs="Times New Roman"/>
      <w:color w:val="000000"/>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spacing w:before="240" w:after="60"/>
      <w:outlineLvl w:val="3"/>
    </w:pPr>
    <w:rPr>
      <w:rFonts w:ascii="Times New Roman" w:eastAsia="Times New Roman" w:hAnsi="Times New Roman" w:cs="Times New Roman"/>
      <w:b/>
      <w:color w:val="000000"/>
      <w:sz w:val="28"/>
      <w:szCs w:val="28"/>
    </w:rPr>
  </w:style>
  <w:style w:type="paragraph" w:styleId="Ttulo5">
    <w:name w:val="heading 5"/>
    <w:basedOn w:val="Normal"/>
    <w:next w:val="Normal"/>
    <w:uiPriority w:val="9"/>
    <w:semiHidden/>
    <w:unhideWhenUsed/>
    <w:qFormat/>
    <w:pPr>
      <w:keepNext/>
      <w:keepLines/>
      <w:spacing w:before="200"/>
      <w:outlineLvl w:val="4"/>
    </w:pPr>
    <w:rPr>
      <w:rFonts w:ascii="Cambria" w:eastAsia="Cambria" w:hAnsi="Cambria" w:cs="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tblPr>
      <w:tblCellMar>
        <w:top w:w="0" w:type="dxa"/>
        <w:left w:w="0" w:type="dxa"/>
        <w:bottom w:w="0" w:type="dxa"/>
        <w:right w:w="0" w:type="dxa"/>
      </w:tblCellMar>
    </w:tblPr>
  </w:style>
  <w:style w:type="table" w:customStyle="1" w:styleId="TableNormala">
    <w:name w:val="Table Normal"/>
    <w:tblPr>
      <w:tblCellMar>
        <w:top w:w="0" w:type="dxa"/>
        <w:left w:w="0" w:type="dxa"/>
        <w:bottom w:w="0" w:type="dxa"/>
        <w:right w:w="0" w:type="dxa"/>
      </w:tblCellMar>
    </w:tblPr>
  </w:style>
  <w:style w:type="table" w:customStyle="1" w:styleId="TableNormalb">
    <w:name w:val="Table Normal"/>
    <w:tblPr>
      <w:tblCellMar>
        <w:top w:w="0" w:type="dxa"/>
        <w:left w:w="0" w:type="dxa"/>
        <w:bottom w:w="0" w:type="dxa"/>
        <w:right w:w="0" w:type="dxa"/>
      </w:tblCellMar>
    </w:tblPr>
  </w:style>
  <w:style w:type="table" w:customStyle="1" w:styleId="TableNormalc">
    <w:name w:val="Table Normal"/>
    <w:tblPr>
      <w:tblCellMar>
        <w:top w:w="0" w:type="dxa"/>
        <w:left w:w="0" w:type="dxa"/>
        <w:bottom w:w="0" w:type="dxa"/>
        <w:right w:w="0" w:type="dxa"/>
      </w:tblCellMar>
    </w:tblPr>
  </w:style>
  <w:style w:type="table" w:customStyle="1" w:styleId="TableNormald">
    <w:name w:val="Table Normal"/>
    <w:tblPr>
      <w:tblCellMar>
        <w:top w:w="0" w:type="dxa"/>
        <w:left w:w="0" w:type="dxa"/>
        <w:bottom w:w="0" w:type="dxa"/>
        <w:right w:w="0" w:type="dxa"/>
      </w:tblCellMar>
    </w:tblPr>
  </w:style>
  <w:style w:type="table" w:customStyle="1" w:styleId="TableNormale">
    <w:name w:val="Table Normal"/>
    <w:tblPr>
      <w:tblCellMar>
        <w:top w:w="0" w:type="dxa"/>
        <w:left w:w="0" w:type="dxa"/>
        <w:bottom w:w="0" w:type="dxa"/>
        <w:right w:w="0" w:type="dxa"/>
      </w:tblCellMar>
    </w:tblPr>
  </w:style>
  <w:style w:type="table" w:customStyle="1" w:styleId="TableNormalf">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f"/>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95734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57344"/>
    <w:rPr>
      <w:rFonts w:ascii="Segoe UI" w:hAnsi="Segoe UI" w:cs="Segoe UI"/>
      <w:sz w:val="18"/>
      <w:szCs w:val="18"/>
    </w:rPr>
  </w:style>
  <w:style w:type="paragraph" w:styleId="Revisin">
    <w:name w:val="Revision"/>
    <w:hidden/>
    <w:uiPriority w:val="99"/>
    <w:semiHidden/>
    <w:rsid w:val="00957344"/>
  </w:style>
  <w:style w:type="paragraph" w:styleId="Encabezado">
    <w:name w:val="header"/>
    <w:basedOn w:val="Normal"/>
    <w:link w:val="EncabezadoCar"/>
    <w:uiPriority w:val="99"/>
    <w:unhideWhenUsed/>
    <w:rsid w:val="005240A3"/>
    <w:pPr>
      <w:tabs>
        <w:tab w:val="center" w:pos="4419"/>
        <w:tab w:val="right" w:pos="8838"/>
      </w:tabs>
    </w:pPr>
  </w:style>
  <w:style w:type="character" w:customStyle="1" w:styleId="EncabezadoCar">
    <w:name w:val="Encabezado Car"/>
    <w:basedOn w:val="Fuentedeprrafopredeter"/>
    <w:link w:val="Encabezado"/>
    <w:uiPriority w:val="99"/>
    <w:rsid w:val="005240A3"/>
  </w:style>
  <w:style w:type="paragraph" w:styleId="Piedepgina">
    <w:name w:val="footer"/>
    <w:basedOn w:val="Normal"/>
    <w:link w:val="PiedepginaCar"/>
    <w:uiPriority w:val="99"/>
    <w:unhideWhenUsed/>
    <w:rsid w:val="005240A3"/>
    <w:pPr>
      <w:tabs>
        <w:tab w:val="center" w:pos="4419"/>
        <w:tab w:val="right" w:pos="8838"/>
      </w:tabs>
    </w:pPr>
  </w:style>
  <w:style w:type="character" w:customStyle="1" w:styleId="PiedepginaCar">
    <w:name w:val="Pie de página Car"/>
    <w:basedOn w:val="Fuentedeprrafopredeter"/>
    <w:link w:val="Piedepgina"/>
    <w:uiPriority w:val="99"/>
    <w:rsid w:val="005240A3"/>
  </w:style>
  <w:style w:type="table" w:customStyle="1" w:styleId="a0">
    <w:basedOn w:val="TableNormalf"/>
    <w:tblPr>
      <w:tblStyleRowBandSize w:val="1"/>
      <w:tblStyleColBandSize w:val="1"/>
      <w:tblCellMar>
        <w:left w:w="70" w:type="dxa"/>
        <w:right w:w="70" w:type="dxa"/>
      </w:tblCellMar>
    </w:tblPr>
  </w:style>
  <w:style w:type="table" w:customStyle="1" w:styleId="a1">
    <w:basedOn w:val="TableNormalf"/>
    <w:tblPr>
      <w:tblStyleRowBandSize w:val="1"/>
      <w:tblStyleColBandSize w:val="1"/>
      <w:tblCellMar>
        <w:left w:w="70" w:type="dxa"/>
        <w:right w:w="70" w:type="dxa"/>
      </w:tblCellMar>
    </w:tblPr>
  </w:style>
  <w:style w:type="table" w:customStyle="1" w:styleId="a2">
    <w:basedOn w:val="TableNormalf"/>
    <w:tblPr>
      <w:tblStyleRowBandSize w:val="1"/>
      <w:tblStyleColBandSize w:val="1"/>
      <w:tblCellMar>
        <w:top w:w="100" w:type="dxa"/>
        <w:left w:w="100" w:type="dxa"/>
        <w:bottom w:w="100" w:type="dxa"/>
        <w:right w:w="100" w:type="dxa"/>
      </w:tblCellMar>
    </w:tblPr>
  </w:style>
  <w:style w:type="table" w:customStyle="1" w:styleId="a3">
    <w:basedOn w:val="TableNormalf"/>
    <w:tblPr>
      <w:tblStyleRowBandSize w:val="1"/>
      <w:tblStyleColBandSize w:val="1"/>
      <w:tblCellMar>
        <w:left w:w="70" w:type="dxa"/>
        <w:right w:w="70" w:type="dxa"/>
      </w:tblCellMar>
    </w:tblPr>
  </w:style>
  <w:style w:type="table" w:customStyle="1" w:styleId="a4">
    <w:basedOn w:val="TableNormalf"/>
    <w:tblPr>
      <w:tblStyleRowBandSize w:val="1"/>
      <w:tblStyleColBandSize w:val="1"/>
      <w:tblCellMar>
        <w:left w:w="70" w:type="dxa"/>
        <w:right w:w="70" w:type="dxa"/>
      </w:tblCellMar>
    </w:tblPr>
  </w:style>
  <w:style w:type="table" w:customStyle="1" w:styleId="a5">
    <w:basedOn w:val="TableNormalf"/>
    <w:tblPr>
      <w:tblStyleRowBandSize w:val="1"/>
      <w:tblStyleColBandSize w:val="1"/>
      <w:tblCellMar>
        <w:left w:w="70" w:type="dxa"/>
        <w:right w:w="70" w:type="dxa"/>
      </w:tblCellMar>
    </w:tblPr>
  </w:style>
  <w:style w:type="table" w:customStyle="1" w:styleId="a6">
    <w:basedOn w:val="TableNormalf"/>
    <w:tblPr>
      <w:tblStyleRowBandSize w:val="1"/>
      <w:tblStyleColBandSize w:val="1"/>
      <w:tblCellMar>
        <w:left w:w="70" w:type="dxa"/>
        <w:right w:w="70" w:type="dxa"/>
      </w:tblCellMar>
    </w:tblPr>
  </w:style>
  <w:style w:type="table" w:customStyle="1" w:styleId="a7">
    <w:basedOn w:val="TableNormalf"/>
    <w:tblPr>
      <w:tblStyleRowBandSize w:val="1"/>
      <w:tblStyleColBandSize w:val="1"/>
      <w:tblCellMar>
        <w:top w:w="100" w:type="dxa"/>
        <w:left w:w="100" w:type="dxa"/>
        <w:bottom w:w="100" w:type="dxa"/>
        <w:right w:w="100" w:type="dxa"/>
      </w:tblCellMar>
    </w:tblPr>
  </w:style>
  <w:style w:type="table" w:customStyle="1" w:styleId="a8">
    <w:basedOn w:val="TableNormalf"/>
    <w:tblPr>
      <w:tblStyleRowBandSize w:val="1"/>
      <w:tblStyleColBandSize w:val="1"/>
      <w:tblCellMar>
        <w:top w:w="100" w:type="dxa"/>
        <w:left w:w="100" w:type="dxa"/>
        <w:bottom w:w="100" w:type="dxa"/>
        <w:right w:w="100" w:type="dxa"/>
      </w:tblCellMar>
    </w:tblPr>
  </w:style>
  <w:style w:type="table" w:customStyle="1" w:styleId="a9">
    <w:basedOn w:val="TableNormalf"/>
    <w:tblPr>
      <w:tblStyleRowBandSize w:val="1"/>
      <w:tblStyleColBandSize w:val="1"/>
      <w:tblCellMar>
        <w:left w:w="70" w:type="dxa"/>
        <w:right w:w="70" w:type="dxa"/>
      </w:tblCellMar>
    </w:tblPr>
  </w:style>
  <w:style w:type="table" w:customStyle="1" w:styleId="aa">
    <w:basedOn w:val="TableNormal8"/>
    <w:tblPr>
      <w:tblStyleRowBandSize w:val="1"/>
      <w:tblStyleColBandSize w:val="1"/>
      <w:tblCellMar>
        <w:top w:w="100" w:type="dxa"/>
        <w:left w:w="100" w:type="dxa"/>
        <w:bottom w:w="100" w:type="dxa"/>
        <w:right w:w="100" w:type="dxa"/>
      </w:tblCellMar>
    </w:tblPr>
  </w:style>
  <w:style w:type="table" w:customStyle="1" w:styleId="ab">
    <w:basedOn w:val="TableNormal8"/>
    <w:tblPr>
      <w:tblStyleRowBandSize w:val="1"/>
      <w:tblStyleColBandSize w:val="1"/>
      <w:tblCellMar>
        <w:top w:w="100" w:type="dxa"/>
        <w:left w:w="70" w:type="dxa"/>
        <w:bottom w:w="100" w:type="dxa"/>
        <w:right w:w="70" w:type="dxa"/>
      </w:tblCellMar>
    </w:tblPr>
  </w:style>
  <w:style w:type="table" w:customStyle="1" w:styleId="ac">
    <w:basedOn w:val="TableNormal8"/>
    <w:tblPr>
      <w:tblStyleRowBandSize w:val="1"/>
      <w:tblStyleColBandSize w:val="1"/>
      <w:tblCellMar>
        <w:top w:w="100" w:type="dxa"/>
        <w:left w:w="70" w:type="dxa"/>
        <w:bottom w:w="100" w:type="dxa"/>
        <w:right w:w="70" w:type="dxa"/>
      </w:tblCellMar>
    </w:tblPr>
  </w:style>
  <w:style w:type="table" w:customStyle="1" w:styleId="ad">
    <w:basedOn w:val="TableNormal8"/>
    <w:tblPr>
      <w:tblStyleRowBandSize w:val="1"/>
      <w:tblStyleColBandSize w:val="1"/>
      <w:tblCellMar>
        <w:top w:w="100" w:type="dxa"/>
        <w:left w:w="70" w:type="dxa"/>
        <w:bottom w:w="100" w:type="dxa"/>
        <w:right w:w="70" w:type="dxa"/>
      </w:tblCellMar>
    </w:tblPr>
  </w:style>
  <w:style w:type="table" w:customStyle="1" w:styleId="ae">
    <w:basedOn w:val="TableNormal8"/>
    <w:tblPr>
      <w:tblStyleRowBandSize w:val="1"/>
      <w:tblStyleColBandSize w:val="1"/>
      <w:tblCellMar>
        <w:top w:w="100" w:type="dxa"/>
        <w:left w:w="100" w:type="dxa"/>
        <w:bottom w:w="100" w:type="dxa"/>
        <w:right w:w="100" w:type="dxa"/>
      </w:tblCellMar>
    </w:tblPr>
  </w:style>
  <w:style w:type="table" w:customStyle="1" w:styleId="af">
    <w:basedOn w:val="TableNormal8"/>
    <w:tblPr>
      <w:tblStyleRowBandSize w:val="1"/>
      <w:tblStyleColBandSize w:val="1"/>
      <w:tblCellMar>
        <w:top w:w="100" w:type="dxa"/>
        <w:left w:w="100" w:type="dxa"/>
        <w:bottom w:w="100" w:type="dxa"/>
        <w:right w:w="100" w:type="dxa"/>
      </w:tblCellMar>
    </w:tblPr>
  </w:style>
  <w:style w:type="table" w:customStyle="1" w:styleId="af0">
    <w:basedOn w:val="TableNormal8"/>
    <w:tblPr>
      <w:tblStyleRowBandSize w:val="1"/>
      <w:tblStyleColBandSize w:val="1"/>
      <w:tblCellMar>
        <w:top w:w="100" w:type="dxa"/>
        <w:left w:w="70" w:type="dxa"/>
        <w:bottom w:w="100" w:type="dxa"/>
        <w:right w:w="70" w:type="dxa"/>
      </w:tblCellMar>
    </w:tblPr>
  </w:style>
  <w:style w:type="paragraph" w:styleId="Prrafodelista">
    <w:name w:val="List Paragraph"/>
    <w:basedOn w:val="Normal"/>
    <w:uiPriority w:val="34"/>
    <w:qFormat/>
    <w:rsid w:val="00C14588"/>
    <w:pPr>
      <w:ind w:left="720"/>
      <w:contextualSpacing/>
    </w:pPr>
  </w:style>
  <w:style w:type="table" w:styleId="Tablaconcuadrcula">
    <w:name w:val="Table Grid"/>
    <w:basedOn w:val="Tablanormal"/>
    <w:uiPriority w:val="39"/>
    <w:rsid w:val="009B39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9B39C8"/>
    <w:pPr>
      <w:spacing w:before="100" w:beforeAutospacing="1" w:after="100" w:afterAutospacing="1"/>
    </w:pPr>
    <w:rPr>
      <w:rFonts w:ascii="Times New Roman" w:eastAsia="Times New Roman" w:hAnsi="Times New Roman" w:cs="Times New Roman"/>
    </w:rPr>
  </w:style>
  <w:style w:type="table" w:customStyle="1" w:styleId="af1">
    <w:basedOn w:val="TableNormal4"/>
    <w:tblPr>
      <w:tblStyleRowBandSize w:val="1"/>
      <w:tblStyleColBandSize w:val="1"/>
      <w:tblCellMar>
        <w:top w:w="100" w:type="dxa"/>
        <w:left w:w="70" w:type="dxa"/>
        <w:bottom w:w="100" w:type="dxa"/>
        <w:right w:w="70" w:type="dxa"/>
      </w:tblCellMar>
    </w:tblPr>
  </w:style>
  <w:style w:type="table" w:customStyle="1" w:styleId="af2">
    <w:basedOn w:val="TableNormal4"/>
    <w:tblPr>
      <w:tblStyleRowBandSize w:val="1"/>
      <w:tblStyleColBandSize w:val="1"/>
      <w:tblCellMar>
        <w:top w:w="100" w:type="dxa"/>
        <w:left w:w="70" w:type="dxa"/>
        <w:bottom w:w="100" w:type="dxa"/>
        <w:right w:w="70" w:type="dxa"/>
      </w:tblCellMar>
    </w:tblPr>
  </w:style>
  <w:style w:type="table" w:customStyle="1" w:styleId="af3">
    <w:basedOn w:val="TableNormal4"/>
    <w:tblPr>
      <w:tblStyleRowBandSize w:val="1"/>
      <w:tblStyleColBandSize w:val="1"/>
      <w:tblCellMar>
        <w:top w:w="100" w:type="dxa"/>
        <w:left w:w="70" w:type="dxa"/>
        <w:bottom w:w="100" w:type="dxa"/>
        <w:right w:w="70" w:type="dxa"/>
      </w:tblCellMar>
    </w:tblPr>
  </w:style>
  <w:style w:type="table" w:customStyle="1" w:styleId="af4">
    <w:basedOn w:val="TableNormal4"/>
    <w:tblPr>
      <w:tblStyleRowBandSize w:val="1"/>
      <w:tblStyleColBandSize w:val="1"/>
      <w:tblCellMar>
        <w:left w:w="108" w:type="dxa"/>
        <w:right w:w="108" w:type="dxa"/>
      </w:tblCellMar>
    </w:tblPr>
  </w:style>
  <w:style w:type="table" w:customStyle="1" w:styleId="af5">
    <w:basedOn w:val="TableNormal4"/>
    <w:tblPr>
      <w:tblStyleRowBandSize w:val="1"/>
      <w:tblStyleColBandSize w:val="1"/>
      <w:tblCellMar>
        <w:top w:w="100" w:type="dxa"/>
        <w:left w:w="70" w:type="dxa"/>
        <w:bottom w:w="100" w:type="dxa"/>
        <w:right w:w="70" w:type="dxa"/>
      </w:tblCellMar>
    </w:tblPr>
  </w:style>
  <w:style w:type="table" w:customStyle="1" w:styleId="af6">
    <w:basedOn w:val="TableNormal4"/>
    <w:tblPr>
      <w:tblStyleRowBandSize w:val="1"/>
      <w:tblStyleColBandSize w:val="1"/>
      <w:tblCellMar>
        <w:top w:w="100" w:type="dxa"/>
        <w:left w:w="70" w:type="dxa"/>
        <w:bottom w:w="100" w:type="dxa"/>
        <w:right w:w="70" w:type="dxa"/>
      </w:tblCellMar>
    </w:tblPr>
  </w:style>
  <w:style w:type="table" w:customStyle="1" w:styleId="af7">
    <w:basedOn w:val="TableNormal4"/>
    <w:tblPr>
      <w:tblStyleRowBandSize w:val="1"/>
      <w:tblStyleColBandSize w:val="1"/>
      <w:tblCellMar>
        <w:top w:w="100" w:type="dxa"/>
        <w:left w:w="70" w:type="dxa"/>
        <w:bottom w:w="100" w:type="dxa"/>
        <w:right w:w="70" w:type="dxa"/>
      </w:tblCellMar>
    </w:tblPr>
  </w:style>
  <w:style w:type="table" w:customStyle="1" w:styleId="af8">
    <w:basedOn w:val="TableNormal4"/>
    <w:tblPr>
      <w:tblStyleRowBandSize w:val="1"/>
      <w:tblStyleColBandSize w:val="1"/>
      <w:tblCellMar>
        <w:top w:w="100" w:type="dxa"/>
        <w:left w:w="70" w:type="dxa"/>
        <w:bottom w:w="100" w:type="dxa"/>
        <w:right w:w="70" w:type="dxa"/>
      </w:tblCellMar>
    </w:tblPr>
  </w:style>
  <w:style w:type="table" w:customStyle="1" w:styleId="af9">
    <w:basedOn w:val="TableNormal4"/>
    <w:tblPr>
      <w:tblStyleRowBandSize w:val="1"/>
      <w:tblStyleColBandSize w:val="1"/>
      <w:tblCellMar>
        <w:left w:w="70" w:type="dxa"/>
        <w:right w:w="70" w:type="dxa"/>
      </w:tblCellMar>
    </w:tblPr>
  </w:style>
  <w:style w:type="table" w:customStyle="1" w:styleId="afa">
    <w:basedOn w:val="TableNormal4"/>
    <w:tblPr>
      <w:tblStyleRowBandSize w:val="1"/>
      <w:tblStyleColBandSize w:val="1"/>
      <w:tblCellMar>
        <w:top w:w="100" w:type="dxa"/>
        <w:left w:w="70" w:type="dxa"/>
        <w:bottom w:w="10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3" Type="http://schemas.openxmlformats.org/officeDocument/2006/relationships/hyperlink" Target="https://forbes.co/2024/07/16/negocios/crece-el-mercado-de-mascotas-en-colombia" TargetMode="External"/><Relationship Id="rId18" Type="http://schemas.openxmlformats.org/officeDocument/2006/relationships/hyperlink" Target="https://www.ccb.org.co/de-interes/comunicados/camara-de-comercio-de-bogota-lanza-iniciativa-cluster-de-proteccion-y-bienestar-animal-para-bogota-y-la-region" TargetMode="External"/><Relationship Id="rId26" Type="http://schemas.openxmlformats.org/officeDocument/2006/relationships/hyperlink" Target="https://www.ccb.org.co/de-interes/comunicados/camara-de-comercio-de-bogota-lanza-iniciativa-cluster-de-proteccion-y-bienestar-animal-para-bogota-y-la-region" TargetMode="External"/><Relationship Id="rId39" Type="http://schemas.openxmlformats.org/officeDocument/2006/relationships/hyperlink" Target="https://www.alcaldiabogota.gov.co/sisjur/normas/Norma1.jsp?i=115961" TargetMode="External"/><Relationship Id="rId21" Type="http://schemas.openxmlformats.org/officeDocument/2006/relationships/hyperlink" Target="https://pulsocapital.com/pet-tech-en-latinoamerica-que-es-y-como-innova-el-cuidado-de-mascotas/" TargetMode="External"/><Relationship Id="rId34" Type="http://schemas.openxmlformats.org/officeDocument/2006/relationships/hyperlink" Target="https://www.funcionpublica.gov.co/eva/gestornormativo/norma.php?i=68135" TargetMode="External"/><Relationship Id="rId42" Type="http://schemas.openxmlformats.org/officeDocument/2006/relationships/hyperlink" Target="https://www.corteconstitucional.gov.co/relatoria/2023/T-142-23.htm" TargetMode="External"/><Relationship Id="rId7" Type="http://schemas.openxmlformats.org/officeDocument/2006/relationships/hyperlink" Target="https://desarrolloeconomico.gov.co/848-de-los-micronegocios-en-bogota-no-acude-al-sistema-financiero-observatorio-de-desarrollo-economico-de-bogota/" TargetMode="External"/><Relationship Id="rId2" Type="http://schemas.openxmlformats.org/officeDocument/2006/relationships/hyperlink" Target="https://desarrolloeconomico.gov.co/al-cierre-de-2023-la-economia-en-bogota-crecio-06-el-mismo-porcentaje-de-crecimiento-en-el-pais/" TargetMode="External"/><Relationship Id="rId16" Type="http://schemas.openxmlformats.org/officeDocument/2006/relationships/hyperlink" Target="https://www.bbva.com/es/innovacion/startups-de-mascotas-que-cuidan-de-los-animales-de-compania/" TargetMode="External"/><Relationship Id="rId20" Type="http://schemas.openxmlformats.org/officeDocument/2006/relationships/hyperlink" Target="https://observatorio.desarrolloeconomico.gov.co/sites/default/files/files_articles/nota_editorial_189_mascotas.pdf" TargetMode="External"/><Relationship Id="rId29" Type="http://schemas.openxmlformats.org/officeDocument/2006/relationships/hyperlink" Target="https://sisjur.bogotajuridica.gov.co/sisjur/normas/Norma1.jsp?i=155699" TargetMode="External"/><Relationship Id="rId41" Type="http://schemas.openxmlformats.org/officeDocument/2006/relationships/hyperlink" Target="https://www.corteconstitucional.gov.co/relatoria/2017/C-343-17.htm" TargetMode="External"/><Relationship Id="rId1" Type="http://schemas.openxmlformats.org/officeDocument/2006/relationships/hyperlink" Target="https://www.dane.gov.co/index.php/estadisticas-por-tema/cuentas-nacionales/cuentas-nacionales-departamentales/cuentas-nacionales-departamentales-pib-trimestral-bogota-d-c/cuentas-nacionales-departamentales-pib-trimestral-bogota-d-c-historicos" TargetMode="External"/><Relationship Id="rId6" Type="http://schemas.openxmlformats.org/officeDocument/2006/relationships/hyperlink" Target="https://www.dnp.gov.co/publicaciones/Planeacion/Paginas/en-mayo-las-ventas-minoristas-bajaron-menos-1-7-porciento-pero-avanzan-hacia-cifras-menos-negativas.aspx" TargetMode="External"/><Relationship Id="rId11" Type="http://schemas.openxmlformats.org/officeDocument/2006/relationships/hyperlink" Target="https://lp.euromonitor.com/white-paper/2024-global-consumer-trends/?utm_source=Press_release&amp;utm_medium=PR&amp;utm_campaign=CT_23_11_16_WP_GCT_2024" TargetMode="External"/><Relationship Id="rId24" Type="http://schemas.openxmlformats.org/officeDocument/2006/relationships/hyperlink" Target="https://publicaciones.fedepalma.org/index.php/palmas/article/view/719" TargetMode="External"/><Relationship Id="rId32" Type="http://schemas.openxmlformats.org/officeDocument/2006/relationships/hyperlink" Target="https://www.cbd.int/doc/legal/cbd-es.pdf" TargetMode="External"/><Relationship Id="rId37" Type="http://schemas.openxmlformats.org/officeDocument/2006/relationships/hyperlink" Target="https://www.alcaldiabogota.gov.co/sisjur/normas/Norma1.jsp?dt=S&amp;i=116186" TargetMode="External"/><Relationship Id="rId40" Type="http://schemas.openxmlformats.org/officeDocument/2006/relationships/hyperlink" Target="https://www.corteconstitucional.gov.co/relatoria/2016/C-467-16.htm" TargetMode="External"/><Relationship Id="rId5" Type="http://schemas.openxmlformats.org/officeDocument/2006/relationships/hyperlink" Target="https://www.banrep.gov.co/es/estadisticas-economicas/encuesta-mensual-expectativas-economicas-empresarios" TargetMode="External"/><Relationship Id="rId15" Type="http://schemas.openxmlformats.org/officeDocument/2006/relationships/hyperlink" Target="https://pulsocapital.com/pet-tech-en-latinoamerica-que-es-y-como-innova-el-cuidado-de-mascotas/" TargetMode="External"/><Relationship Id="rId23" Type="http://schemas.openxmlformats.org/officeDocument/2006/relationships/hyperlink" Target="https://animalesbog.gov.co/sites/default/files/3_CARACTERIZACI%C3%93N_COMPA%C3%91%C3%8DA_2018.pdf" TargetMode="External"/><Relationship Id="rId28" Type="http://schemas.openxmlformats.org/officeDocument/2006/relationships/hyperlink" Target="https://colombia.un.org/es/sdgs" TargetMode="External"/><Relationship Id="rId36" Type="http://schemas.openxmlformats.org/officeDocument/2006/relationships/hyperlink" Target="https://www.alcaldiabogota.gov.co/sisjur/normas/Norma1.jsp?dt=S&amp;i=62072" TargetMode="External"/><Relationship Id="rId10" Type="http://schemas.openxmlformats.org/officeDocument/2006/relationships/hyperlink" Target="https://repository.cesa.edu.co/handle/10726/2075" TargetMode="External"/><Relationship Id="rId19" Type="http://schemas.openxmlformats.org/officeDocument/2006/relationships/hyperlink" Target="https://observatorio.desarrolloeconomico.gov.co/sites/default/files/files_articles/nota_editorial_189_mascotas.pdf" TargetMode="External"/><Relationship Id="rId31" Type="http://schemas.openxmlformats.org/officeDocument/2006/relationships/hyperlink" Target="https://www.oas.org/dil/esp/1969_Convenci%C3%B3n_Americana_sobre_Derechos_Humanos.pdf" TargetMode="External"/><Relationship Id="rId4" Type="http://schemas.openxmlformats.org/officeDocument/2006/relationships/hyperlink" Target="https://desarrolloeconomico.gov.co/en-lo-corrido-de-2024-la-inflacion-en-bogota-ha-disminuido/" TargetMode="External"/><Relationship Id="rId9" Type="http://schemas.openxmlformats.org/officeDocument/2006/relationships/hyperlink" Target="https://ridum.umanizales.edu.co/xmlui/handle/20.500.12746/5537" TargetMode="External"/><Relationship Id="rId14" Type="http://schemas.openxmlformats.org/officeDocument/2006/relationships/hyperlink" Target="https://www.larepublica.co/empresas/el-negocio-de-las-mascotas-proyecta-una-inversion-de-5-billones-al-termino-de-2023-3719424" TargetMode="External"/><Relationship Id="rId22" Type="http://schemas.openxmlformats.org/officeDocument/2006/relationships/hyperlink" Target="https://segurosbolivarapoyocomercial.com/news-downloads/mascotas-presentacion.pdf" TargetMode="External"/><Relationship Id="rId27" Type="http://schemas.openxmlformats.org/officeDocument/2006/relationships/hyperlink" Target="https://www.ccb.org.co/de-interes/comunicados/camara-de-comercio-de-bogota-lanza-iniciativa-cluster-de-proteccion-y-bienestar-animal-para-bogota-y-la-region" TargetMode="External"/><Relationship Id="rId30" Type="http://schemas.openxmlformats.org/officeDocument/2006/relationships/hyperlink" Target="https://www.ohchr.org/es/instruments-mechanisms/instruments/international-covenant-economic-social-and-cultural-rights" TargetMode="External"/><Relationship Id="rId35" Type="http://schemas.openxmlformats.org/officeDocument/2006/relationships/hyperlink" Target="https://www.camara.gov.co/ley-kiara" TargetMode="External"/><Relationship Id="rId8" Type="http://schemas.openxmlformats.org/officeDocument/2006/relationships/hyperlink" Target="https://www.superfinanciera.gov.co/publicaciones/10115193/reporte-de-inclusion-financiera-2023-avances-y-retos-en-colombia/" TargetMode="External"/><Relationship Id="rId3" Type="http://schemas.openxmlformats.org/officeDocument/2006/relationships/hyperlink" Target="https://www.dane.gov.co/files/operaciones/GEIH/bol-GEIH-jul2024.pdf" TargetMode="External"/><Relationship Id="rId12" Type="http://schemas.openxmlformats.org/officeDocument/2006/relationships/hyperlink" Target="https://www.portafolio.co/tendencias/las-ventas-de-comida-para-mascotas-superaran-las-de-bebes-en-2019-522475" TargetMode="External"/><Relationship Id="rId17" Type="http://schemas.openxmlformats.org/officeDocument/2006/relationships/hyperlink" Target="https://www.elespectador.com/la-red-zoocial/revelan-el-numero-de-mascotas-que-hay-en-colombia-son-mas-perros-que-gatos-noticias-hoy/" TargetMode="External"/><Relationship Id="rId25" Type="http://schemas.openxmlformats.org/officeDocument/2006/relationships/hyperlink" Target="https://www.idepa.es/innovacion/clusteres/que-es-un-cluster" TargetMode="External"/><Relationship Id="rId33" Type="http://schemas.openxmlformats.org/officeDocument/2006/relationships/hyperlink" Target="https://www.funcionpublica.gov.co/eva/gestornormativo/norma.php?i=160966" TargetMode="External"/><Relationship Id="rId38" Type="http://schemas.openxmlformats.org/officeDocument/2006/relationships/hyperlink" Target="https://www.alcaldiabogota.gov.co/sisjur/normas/Norma1.jsp?i=128339"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XqnZDVWmGhy2WBHc6SH6lRlgtw==">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30B695F-C6A3-4C4E-B974-6BE5385F08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35</Pages>
  <Words>8409</Words>
  <Characters>46250</Characters>
  <Application>Microsoft Office Word</Application>
  <DocSecurity>0</DocSecurity>
  <Lines>385</Lines>
  <Paragraphs>109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SERGIO ALEXANDER MARTINEZ LOPEZ</dc:creator>
  <cp:lastModifiedBy>MARGARITA ROCIO TORRES NOVA</cp:lastModifiedBy>
  <cp:revision>4</cp:revision>
  <dcterms:created xsi:type="dcterms:W3CDTF">2025-12-22T04:47:00Z</dcterms:created>
  <dcterms:modified xsi:type="dcterms:W3CDTF">2026-01-15T21:56:00Z</dcterms:modified>
</cp:coreProperties>
</file>